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9291" w14:textId="77777777" w:rsidR="00AC54AD" w:rsidRPr="004D2F27" w:rsidRDefault="00B7354A">
      <w:pPr>
        <w:pStyle w:val="BodyText"/>
        <w:ind w:left="188"/>
        <w:rPr>
          <w:rFonts w:ascii="Times New Roman"/>
          <w:sz w:val="20"/>
          <w:lang w:val="en-GB"/>
        </w:rPr>
      </w:pPr>
      <w:r w:rsidRPr="004D2F27">
        <w:rPr>
          <w:rFonts w:ascii="Times New Roman"/>
          <w:noProof/>
          <w:sz w:val="20"/>
          <w:lang w:val="en-GB"/>
        </w:rPr>
        <w:drawing>
          <wp:inline distT="0" distB="0" distL="0" distR="0" wp14:anchorId="24CE503B" wp14:editId="19E8B4FD">
            <wp:extent cx="5591997" cy="9229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591997" cy="922972"/>
                    </a:xfrm>
                    <a:prstGeom prst="rect">
                      <a:avLst/>
                    </a:prstGeom>
                  </pic:spPr>
                </pic:pic>
              </a:graphicData>
            </a:graphic>
          </wp:inline>
        </w:drawing>
      </w:r>
    </w:p>
    <w:p w14:paraId="5C077C1F" w14:textId="77777777" w:rsidR="00AC54AD" w:rsidRPr="004D2F27" w:rsidRDefault="00AC54AD">
      <w:pPr>
        <w:pStyle w:val="BodyText"/>
        <w:rPr>
          <w:rFonts w:ascii="Times New Roman"/>
          <w:lang w:val="en-GB"/>
        </w:rPr>
      </w:pPr>
    </w:p>
    <w:p w14:paraId="26319AFD" w14:textId="77777777" w:rsidR="00AC54AD" w:rsidRPr="004D2F27" w:rsidRDefault="00AC54AD">
      <w:pPr>
        <w:pStyle w:val="BodyText"/>
        <w:rPr>
          <w:rFonts w:ascii="Times New Roman"/>
          <w:lang w:val="en-GB"/>
        </w:rPr>
      </w:pPr>
    </w:p>
    <w:p w14:paraId="58139AB3" w14:textId="77777777" w:rsidR="00AC54AD" w:rsidRPr="004D2F27" w:rsidRDefault="00AC54AD">
      <w:pPr>
        <w:pStyle w:val="BodyText"/>
        <w:spacing w:before="10"/>
        <w:rPr>
          <w:rFonts w:ascii="Times New Roman"/>
          <w:lang w:val="en-GB"/>
        </w:rPr>
      </w:pPr>
    </w:p>
    <w:p w14:paraId="0322A71D" w14:textId="77777777" w:rsidR="00AC54AD" w:rsidRPr="004D2F27" w:rsidRDefault="00B7354A">
      <w:pPr>
        <w:pStyle w:val="Heading1"/>
        <w:ind w:firstLine="0"/>
        <w:jc w:val="center"/>
        <w:rPr>
          <w:lang w:val="en-GB"/>
        </w:rPr>
      </w:pPr>
      <w:r w:rsidRPr="004D2F27">
        <w:rPr>
          <w:lang w:val="en-GB"/>
        </w:rPr>
        <w:t>PROJECT</w:t>
      </w:r>
      <w:r w:rsidRPr="004D2F27">
        <w:rPr>
          <w:spacing w:val="-8"/>
          <w:lang w:val="en-GB"/>
        </w:rPr>
        <w:t xml:space="preserve"> </w:t>
      </w:r>
      <w:r w:rsidRPr="004D2F27">
        <w:rPr>
          <w:spacing w:val="-2"/>
          <w:lang w:val="en-GB"/>
        </w:rPr>
        <w:t>SUMMARY</w:t>
      </w:r>
    </w:p>
    <w:p w14:paraId="6371AE18" w14:textId="77777777" w:rsidR="00AC54AD" w:rsidRPr="004D2F27" w:rsidRDefault="00AC54AD">
      <w:pPr>
        <w:pStyle w:val="BodyText"/>
        <w:spacing w:before="8" w:after="1"/>
        <w:rPr>
          <w:b/>
          <w:sz w:val="19"/>
          <w:lang w:val="en-G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6527"/>
      </w:tblGrid>
      <w:tr w:rsidR="00AC54AD" w:rsidRPr="00536E5A" w14:paraId="6459CCAB" w14:textId="77777777">
        <w:trPr>
          <w:trHeight w:val="537"/>
        </w:trPr>
        <w:tc>
          <w:tcPr>
            <w:tcW w:w="2492" w:type="dxa"/>
            <w:shd w:val="clear" w:color="auto" w:fill="DBE4F0"/>
          </w:tcPr>
          <w:p w14:paraId="1B30AF28" w14:textId="77777777" w:rsidR="00AC54AD" w:rsidRPr="004D2F27" w:rsidRDefault="00B7354A">
            <w:pPr>
              <w:pStyle w:val="TableParagraph"/>
              <w:rPr>
                <w:b/>
                <w:lang w:val="en-GB"/>
              </w:rPr>
            </w:pPr>
            <w:r w:rsidRPr="004D2F27">
              <w:rPr>
                <w:b/>
                <w:lang w:val="en-GB"/>
              </w:rPr>
              <w:t>Title</w:t>
            </w:r>
            <w:r w:rsidRPr="004D2F27">
              <w:rPr>
                <w:b/>
                <w:spacing w:val="-3"/>
                <w:lang w:val="en-GB"/>
              </w:rPr>
              <w:t xml:space="preserve"> </w:t>
            </w:r>
            <w:r w:rsidRPr="004D2F27">
              <w:rPr>
                <w:b/>
                <w:lang w:val="en-GB"/>
              </w:rPr>
              <w:t>of</w:t>
            </w:r>
            <w:r w:rsidRPr="004D2F27">
              <w:rPr>
                <w:b/>
                <w:spacing w:val="-3"/>
                <w:lang w:val="en-GB"/>
              </w:rPr>
              <w:t xml:space="preserve"> </w:t>
            </w:r>
            <w:r w:rsidRPr="004D2F27">
              <w:rPr>
                <w:b/>
                <w:lang w:val="en-GB"/>
              </w:rPr>
              <w:t>the</w:t>
            </w:r>
            <w:r w:rsidRPr="004D2F27">
              <w:rPr>
                <w:b/>
                <w:spacing w:val="-3"/>
                <w:lang w:val="en-GB"/>
              </w:rPr>
              <w:t xml:space="preserve"> </w:t>
            </w:r>
            <w:r w:rsidRPr="004D2F27">
              <w:rPr>
                <w:b/>
                <w:spacing w:val="-2"/>
                <w:lang w:val="en-GB"/>
              </w:rPr>
              <w:t>Project</w:t>
            </w:r>
          </w:p>
        </w:tc>
        <w:tc>
          <w:tcPr>
            <w:tcW w:w="6527" w:type="dxa"/>
          </w:tcPr>
          <w:p w14:paraId="35BC533F" w14:textId="77777777" w:rsidR="00AC54AD" w:rsidRPr="004D2F27" w:rsidRDefault="00B7354A">
            <w:pPr>
              <w:pStyle w:val="TableParagraph"/>
              <w:rPr>
                <w:lang w:val="en-GB"/>
              </w:rPr>
            </w:pPr>
            <w:r w:rsidRPr="004D2F27">
              <w:rPr>
                <w:lang w:val="en-GB"/>
              </w:rPr>
              <w:t>Support</w:t>
            </w:r>
            <w:r w:rsidRPr="004D2F27">
              <w:rPr>
                <w:spacing w:val="-5"/>
                <w:lang w:val="en-GB"/>
              </w:rPr>
              <w:t xml:space="preserve"> </w:t>
            </w:r>
            <w:r w:rsidRPr="004D2F27">
              <w:rPr>
                <w:lang w:val="en-GB"/>
              </w:rPr>
              <w:t>to</w:t>
            </w:r>
            <w:r w:rsidRPr="004D2F27">
              <w:rPr>
                <w:spacing w:val="-2"/>
                <w:lang w:val="en-GB"/>
              </w:rPr>
              <w:t xml:space="preserve"> </w:t>
            </w:r>
            <w:r w:rsidRPr="004D2F27">
              <w:rPr>
                <w:lang w:val="en-GB"/>
              </w:rPr>
              <w:t>Council</w:t>
            </w:r>
            <w:r w:rsidRPr="004D2F27">
              <w:rPr>
                <w:spacing w:val="-2"/>
                <w:lang w:val="en-GB"/>
              </w:rPr>
              <w:t xml:space="preserve"> </w:t>
            </w:r>
            <w:r w:rsidRPr="004D2F27">
              <w:rPr>
                <w:lang w:val="en-GB"/>
              </w:rPr>
              <w:t>of</w:t>
            </w:r>
            <w:r w:rsidRPr="004D2F27">
              <w:rPr>
                <w:spacing w:val="-5"/>
                <w:lang w:val="en-GB"/>
              </w:rPr>
              <w:t xml:space="preserve"> </w:t>
            </w:r>
            <w:r w:rsidRPr="004D2F27">
              <w:rPr>
                <w:lang w:val="en-GB"/>
              </w:rPr>
              <w:t>Europe</w:t>
            </w:r>
            <w:r w:rsidRPr="004D2F27">
              <w:rPr>
                <w:spacing w:val="-3"/>
                <w:lang w:val="en-GB"/>
              </w:rPr>
              <w:t xml:space="preserve"> </w:t>
            </w:r>
            <w:r w:rsidRPr="004D2F27">
              <w:rPr>
                <w:lang w:val="en-GB"/>
              </w:rPr>
              <w:t>for</w:t>
            </w:r>
            <w:r w:rsidRPr="004D2F27">
              <w:rPr>
                <w:spacing w:val="-3"/>
                <w:lang w:val="en-GB"/>
              </w:rPr>
              <w:t xml:space="preserve"> </w:t>
            </w:r>
            <w:r w:rsidRPr="004D2F27">
              <w:rPr>
                <w:lang w:val="en-GB"/>
              </w:rPr>
              <w:t>EU</w:t>
            </w:r>
            <w:r w:rsidRPr="004D2F27">
              <w:rPr>
                <w:spacing w:val="-2"/>
                <w:lang w:val="en-GB"/>
              </w:rPr>
              <w:t xml:space="preserve"> </w:t>
            </w:r>
            <w:r w:rsidRPr="004D2F27">
              <w:rPr>
                <w:lang w:val="en-GB"/>
              </w:rPr>
              <w:t>Network</w:t>
            </w:r>
            <w:r w:rsidRPr="004D2F27">
              <w:rPr>
                <w:spacing w:val="-4"/>
                <w:lang w:val="en-GB"/>
              </w:rPr>
              <w:t xml:space="preserve"> </w:t>
            </w:r>
            <w:r w:rsidRPr="004D2F27">
              <w:rPr>
                <w:lang w:val="en-GB"/>
              </w:rPr>
              <w:t>of</w:t>
            </w:r>
            <w:r w:rsidRPr="004D2F27">
              <w:rPr>
                <w:spacing w:val="-3"/>
                <w:lang w:val="en-GB"/>
              </w:rPr>
              <w:t xml:space="preserve"> </w:t>
            </w:r>
            <w:r w:rsidRPr="004D2F27">
              <w:rPr>
                <w:lang w:val="en-GB"/>
              </w:rPr>
              <w:t>prison</w:t>
            </w:r>
            <w:r w:rsidRPr="004D2F27">
              <w:rPr>
                <w:spacing w:val="-3"/>
                <w:lang w:val="en-GB"/>
              </w:rPr>
              <w:t xml:space="preserve"> </w:t>
            </w:r>
            <w:r w:rsidRPr="004D2F27">
              <w:rPr>
                <w:spacing w:val="-2"/>
                <w:lang w:val="en-GB"/>
              </w:rPr>
              <w:t>monitoring</w:t>
            </w:r>
          </w:p>
          <w:p w14:paraId="14D256D4" w14:textId="77777777" w:rsidR="00AC54AD" w:rsidRPr="004D2F27" w:rsidRDefault="00B7354A">
            <w:pPr>
              <w:pStyle w:val="TableParagraph"/>
              <w:spacing w:line="249" w:lineRule="exact"/>
              <w:rPr>
                <w:lang w:val="en-GB"/>
              </w:rPr>
            </w:pPr>
            <w:r w:rsidRPr="004D2F27">
              <w:rPr>
                <w:lang w:val="en-GB"/>
              </w:rPr>
              <w:t>bodies</w:t>
            </w:r>
            <w:r w:rsidRPr="004D2F27">
              <w:rPr>
                <w:spacing w:val="-5"/>
                <w:lang w:val="en-GB"/>
              </w:rPr>
              <w:t xml:space="preserve"> </w:t>
            </w:r>
            <w:r w:rsidRPr="004D2F27">
              <w:rPr>
                <w:lang w:val="en-GB"/>
              </w:rPr>
              <w:t>(“European</w:t>
            </w:r>
            <w:r w:rsidRPr="004D2F27">
              <w:rPr>
                <w:spacing w:val="-5"/>
                <w:lang w:val="en-GB"/>
              </w:rPr>
              <w:t xml:space="preserve"> </w:t>
            </w:r>
            <w:r w:rsidRPr="004D2F27">
              <w:rPr>
                <w:lang w:val="en-GB"/>
              </w:rPr>
              <w:t>NPM</w:t>
            </w:r>
            <w:r w:rsidRPr="004D2F27">
              <w:rPr>
                <w:spacing w:val="-4"/>
                <w:lang w:val="en-GB"/>
              </w:rPr>
              <w:t xml:space="preserve"> </w:t>
            </w:r>
            <w:r w:rsidRPr="004D2F27">
              <w:rPr>
                <w:spacing w:val="-2"/>
                <w:lang w:val="en-GB"/>
              </w:rPr>
              <w:t>Forum”)</w:t>
            </w:r>
          </w:p>
        </w:tc>
      </w:tr>
      <w:tr w:rsidR="00AC54AD" w:rsidRPr="00536E5A" w14:paraId="2EB802CA" w14:textId="77777777">
        <w:trPr>
          <w:trHeight w:val="537"/>
        </w:trPr>
        <w:tc>
          <w:tcPr>
            <w:tcW w:w="2492" w:type="dxa"/>
            <w:shd w:val="clear" w:color="auto" w:fill="DBE4F0"/>
          </w:tcPr>
          <w:p w14:paraId="640DAB2A" w14:textId="77777777" w:rsidR="00AC54AD" w:rsidRPr="004D2F27" w:rsidRDefault="00B7354A">
            <w:pPr>
              <w:pStyle w:val="TableParagraph"/>
              <w:rPr>
                <w:b/>
                <w:lang w:val="en-GB"/>
              </w:rPr>
            </w:pPr>
            <w:r w:rsidRPr="004D2F27">
              <w:rPr>
                <w:b/>
                <w:lang w:val="en-GB"/>
              </w:rPr>
              <w:t>Project</w:t>
            </w:r>
            <w:r w:rsidRPr="004D2F27">
              <w:rPr>
                <w:b/>
                <w:spacing w:val="-5"/>
                <w:lang w:val="en-GB"/>
              </w:rPr>
              <w:t xml:space="preserve"> </w:t>
            </w:r>
            <w:r w:rsidRPr="004D2F27">
              <w:rPr>
                <w:b/>
                <w:spacing w:val="-2"/>
                <w:lang w:val="en-GB"/>
              </w:rPr>
              <w:t>Financing</w:t>
            </w:r>
          </w:p>
        </w:tc>
        <w:tc>
          <w:tcPr>
            <w:tcW w:w="6527" w:type="dxa"/>
          </w:tcPr>
          <w:p w14:paraId="7B6C4B70" w14:textId="3845003F" w:rsidR="00AC54AD" w:rsidRPr="004D2F27" w:rsidRDefault="00B7354A">
            <w:pPr>
              <w:pStyle w:val="TableParagraph"/>
              <w:rPr>
                <w:lang w:val="en-GB"/>
              </w:rPr>
            </w:pPr>
            <w:r w:rsidRPr="004D2F27">
              <w:rPr>
                <w:lang w:val="en-GB"/>
              </w:rPr>
              <w:t>EUR</w:t>
            </w:r>
            <w:r w:rsidRPr="004D2F27">
              <w:rPr>
                <w:spacing w:val="-4"/>
                <w:lang w:val="en-GB"/>
              </w:rPr>
              <w:t xml:space="preserve"> </w:t>
            </w:r>
            <w:r w:rsidR="00801C2A" w:rsidRPr="004D2F27">
              <w:rPr>
                <w:lang w:val="en-GB"/>
              </w:rPr>
              <w:t>166</w:t>
            </w:r>
            <w:r w:rsidRPr="004D2F27">
              <w:rPr>
                <w:lang w:val="en-GB"/>
              </w:rPr>
              <w:t>,</w:t>
            </w:r>
            <w:r w:rsidR="00801C2A" w:rsidRPr="004D2F27">
              <w:rPr>
                <w:lang w:val="en-GB"/>
              </w:rPr>
              <w:t>667</w:t>
            </w:r>
            <w:r w:rsidRPr="004D2F27">
              <w:rPr>
                <w:spacing w:val="-4"/>
                <w:lang w:val="en-GB"/>
              </w:rPr>
              <w:t xml:space="preserve"> </w:t>
            </w:r>
            <w:r w:rsidRPr="004D2F27">
              <w:rPr>
                <w:lang w:val="en-GB"/>
              </w:rPr>
              <w:t>funded</w:t>
            </w:r>
            <w:r w:rsidRPr="004D2F27">
              <w:rPr>
                <w:spacing w:val="-3"/>
                <w:lang w:val="en-GB"/>
              </w:rPr>
              <w:t xml:space="preserve"> </w:t>
            </w:r>
            <w:r w:rsidRPr="004D2F27">
              <w:rPr>
                <w:lang w:val="en-GB"/>
              </w:rPr>
              <w:t>90%</w:t>
            </w:r>
            <w:r w:rsidRPr="004D2F27">
              <w:rPr>
                <w:spacing w:val="-2"/>
                <w:lang w:val="en-GB"/>
              </w:rPr>
              <w:t xml:space="preserve"> </w:t>
            </w:r>
            <w:r w:rsidRPr="004D2F27">
              <w:rPr>
                <w:lang w:val="en-GB"/>
              </w:rPr>
              <w:t>by</w:t>
            </w:r>
            <w:r w:rsidRPr="004D2F27">
              <w:rPr>
                <w:spacing w:val="-3"/>
                <w:lang w:val="en-GB"/>
              </w:rPr>
              <w:t xml:space="preserve"> </w:t>
            </w:r>
            <w:r w:rsidRPr="004D2F27">
              <w:rPr>
                <w:lang w:val="en-GB"/>
              </w:rPr>
              <w:t>the</w:t>
            </w:r>
            <w:r w:rsidRPr="004D2F27">
              <w:rPr>
                <w:spacing w:val="-5"/>
                <w:lang w:val="en-GB"/>
              </w:rPr>
              <w:t xml:space="preserve"> </w:t>
            </w:r>
            <w:r w:rsidRPr="004D2F27">
              <w:rPr>
                <w:lang w:val="en-GB"/>
              </w:rPr>
              <w:t>European</w:t>
            </w:r>
            <w:r w:rsidRPr="004D2F27">
              <w:rPr>
                <w:spacing w:val="-3"/>
                <w:lang w:val="en-GB"/>
              </w:rPr>
              <w:t xml:space="preserve"> </w:t>
            </w:r>
            <w:r w:rsidRPr="004D2F27">
              <w:rPr>
                <w:lang w:val="en-GB"/>
              </w:rPr>
              <w:t>Union</w:t>
            </w:r>
            <w:r w:rsidRPr="004D2F27">
              <w:rPr>
                <w:spacing w:val="-7"/>
                <w:lang w:val="en-GB"/>
              </w:rPr>
              <w:t xml:space="preserve"> </w:t>
            </w:r>
            <w:r w:rsidRPr="004D2F27">
              <w:rPr>
                <w:lang w:val="en-GB"/>
              </w:rPr>
              <w:t>and</w:t>
            </w:r>
            <w:r w:rsidRPr="004D2F27">
              <w:rPr>
                <w:spacing w:val="-4"/>
                <w:lang w:val="en-GB"/>
              </w:rPr>
              <w:t xml:space="preserve"> </w:t>
            </w:r>
            <w:r w:rsidRPr="004D2F27">
              <w:rPr>
                <w:lang w:val="en-GB"/>
              </w:rPr>
              <w:t>10%</w:t>
            </w:r>
            <w:r w:rsidRPr="004D2F27">
              <w:rPr>
                <w:spacing w:val="-2"/>
                <w:lang w:val="en-GB"/>
              </w:rPr>
              <w:t xml:space="preserve"> </w:t>
            </w:r>
            <w:r w:rsidRPr="004D2F27">
              <w:rPr>
                <w:lang w:val="en-GB"/>
              </w:rPr>
              <w:t>by</w:t>
            </w:r>
            <w:r w:rsidRPr="004D2F27">
              <w:rPr>
                <w:spacing w:val="-5"/>
                <w:lang w:val="en-GB"/>
              </w:rPr>
              <w:t xml:space="preserve"> the</w:t>
            </w:r>
          </w:p>
          <w:p w14:paraId="0496F815" w14:textId="77777777" w:rsidR="00AC54AD" w:rsidRPr="004D2F27" w:rsidRDefault="00B7354A">
            <w:pPr>
              <w:pStyle w:val="TableParagraph"/>
              <w:spacing w:line="249" w:lineRule="exact"/>
              <w:rPr>
                <w:lang w:val="en-GB"/>
              </w:rPr>
            </w:pPr>
            <w:r w:rsidRPr="004D2F27">
              <w:rPr>
                <w:lang w:val="en-GB"/>
              </w:rPr>
              <w:t>Council</w:t>
            </w:r>
            <w:r w:rsidRPr="004D2F27">
              <w:rPr>
                <w:spacing w:val="-4"/>
                <w:lang w:val="en-GB"/>
              </w:rPr>
              <w:t xml:space="preserve"> </w:t>
            </w:r>
            <w:r w:rsidRPr="004D2F27">
              <w:rPr>
                <w:lang w:val="en-GB"/>
              </w:rPr>
              <w:t>of</w:t>
            </w:r>
            <w:r w:rsidRPr="004D2F27">
              <w:rPr>
                <w:spacing w:val="-1"/>
                <w:lang w:val="en-GB"/>
              </w:rPr>
              <w:t xml:space="preserve"> </w:t>
            </w:r>
            <w:r w:rsidRPr="004D2F27">
              <w:rPr>
                <w:spacing w:val="-2"/>
                <w:lang w:val="en-GB"/>
              </w:rPr>
              <w:t>Europe</w:t>
            </w:r>
          </w:p>
        </w:tc>
      </w:tr>
      <w:tr w:rsidR="00AC54AD" w:rsidRPr="00536E5A" w14:paraId="7BBCF8FA" w14:textId="77777777">
        <w:trPr>
          <w:trHeight w:val="268"/>
        </w:trPr>
        <w:tc>
          <w:tcPr>
            <w:tcW w:w="2492" w:type="dxa"/>
            <w:shd w:val="clear" w:color="auto" w:fill="DBE4F0"/>
          </w:tcPr>
          <w:p w14:paraId="644FCBF5" w14:textId="77777777" w:rsidR="00AC54AD" w:rsidRPr="004D2F27" w:rsidRDefault="00B7354A">
            <w:pPr>
              <w:pStyle w:val="TableParagraph"/>
              <w:spacing w:line="248" w:lineRule="exact"/>
              <w:rPr>
                <w:b/>
                <w:lang w:val="en-GB"/>
              </w:rPr>
            </w:pPr>
            <w:r w:rsidRPr="004D2F27">
              <w:rPr>
                <w:b/>
                <w:spacing w:val="-2"/>
                <w:lang w:val="en-GB"/>
              </w:rPr>
              <w:t>Donor</w:t>
            </w:r>
          </w:p>
        </w:tc>
        <w:tc>
          <w:tcPr>
            <w:tcW w:w="6527" w:type="dxa"/>
          </w:tcPr>
          <w:p w14:paraId="64506845" w14:textId="77777777" w:rsidR="00AC54AD" w:rsidRPr="004D2F27" w:rsidRDefault="00B7354A">
            <w:pPr>
              <w:pStyle w:val="TableParagraph"/>
              <w:spacing w:line="248" w:lineRule="exact"/>
              <w:rPr>
                <w:lang w:val="en-GB"/>
              </w:rPr>
            </w:pPr>
            <w:r w:rsidRPr="004D2F27">
              <w:rPr>
                <w:lang w:val="en-GB"/>
              </w:rPr>
              <w:t>European</w:t>
            </w:r>
            <w:r w:rsidRPr="004D2F27">
              <w:rPr>
                <w:spacing w:val="-4"/>
                <w:lang w:val="en-GB"/>
              </w:rPr>
              <w:t xml:space="preserve"> </w:t>
            </w:r>
            <w:r w:rsidRPr="004D2F27">
              <w:rPr>
                <w:lang w:val="en-GB"/>
              </w:rPr>
              <w:t>Union</w:t>
            </w:r>
            <w:r w:rsidRPr="004D2F27">
              <w:rPr>
                <w:spacing w:val="-4"/>
                <w:lang w:val="en-GB"/>
              </w:rPr>
              <w:t xml:space="preserve"> (EU)</w:t>
            </w:r>
          </w:p>
        </w:tc>
      </w:tr>
      <w:tr w:rsidR="00AC54AD" w:rsidRPr="00536E5A" w14:paraId="6DDA8834" w14:textId="77777777">
        <w:trPr>
          <w:trHeight w:val="269"/>
        </w:trPr>
        <w:tc>
          <w:tcPr>
            <w:tcW w:w="2492" w:type="dxa"/>
            <w:shd w:val="clear" w:color="auto" w:fill="DBE4F0"/>
          </w:tcPr>
          <w:p w14:paraId="1BA88DD4" w14:textId="77777777" w:rsidR="00AC54AD" w:rsidRPr="004D2F27" w:rsidRDefault="00B7354A">
            <w:pPr>
              <w:pStyle w:val="TableParagraph"/>
              <w:spacing w:line="249" w:lineRule="exact"/>
              <w:rPr>
                <w:b/>
                <w:lang w:val="en-GB"/>
              </w:rPr>
            </w:pPr>
            <w:r w:rsidRPr="004D2F27">
              <w:rPr>
                <w:b/>
                <w:spacing w:val="-2"/>
                <w:lang w:val="en-GB"/>
              </w:rPr>
              <w:t>Duration</w:t>
            </w:r>
          </w:p>
        </w:tc>
        <w:tc>
          <w:tcPr>
            <w:tcW w:w="6527" w:type="dxa"/>
          </w:tcPr>
          <w:p w14:paraId="2C55ACFF" w14:textId="61F1631D" w:rsidR="00AC54AD" w:rsidRPr="004D2F27" w:rsidRDefault="00536E5A">
            <w:pPr>
              <w:pStyle w:val="TableParagraph"/>
              <w:spacing w:line="249" w:lineRule="exact"/>
              <w:rPr>
                <w:lang w:val="en-GB"/>
              </w:rPr>
            </w:pPr>
            <w:r w:rsidRPr="004D2F27">
              <w:rPr>
                <w:lang w:val="en-GB"/>
              </w:rPr>
              <w:t>12</w:t>
            </w:r>
            <w:r w:rsidRPr="004D2F27">
              <w:rPr>
                <w:spacing w:val="-3"/>
                <w:lang w:val="en-GB"/>
              </w:rPr>
              <w:t xml:space="preserve"> </w:t>
            </w:r>
            <w:r w:rsidRPr="004D2F27">
              <w:rPr>
                <w:lang w:val="en-GB"/>
              </w:rPr>
              <w:t>months</w:t>
            </w:r>
            <w:r w:rsidRPr="004D2F27">
              <w:rPr>
                <w:spacing w:val="-2"/>
                <w:lang w:val="en-GB"/>
              </w:rPr>
              <w:t xml:space="preserve"> </w:t>
            </w:r>
            <w:r w:rsidRPr="004D2F27">
              <w:rPr>
                <w:lang w:val="en-GB"/>
              </w:rPr>
              <w:t>(1</w:t>
            </w:r>
            <w:r w:rsidRPr="004D2F27">
              <w:rPr>
                <w:spacing w:val="-4"/>
                <w:lang w:val="en-GB"/>
              </w:rPr>
              <w:t xml:space="preserve"> </w:t>
            </w:r>
            <w:r w:rsidR="00801C2A" w:rsidRPr="004D2F27">
              <w:rPr>
                <w:lang w:val="en-GB"/>
              </w:rPr>
              <w:t>August</w:t>
            </w:r>
            <w:r w:rsidRPr="004D2F27">
              <w:rPr>
                <w:spacing w:val="-3"/>
                <w:lang w:val="en-GB"/>
              </w:rPr>
              <w:t xml:space="preserve"> </w:t>
            </w:r>
            <w:r w:rsidRPr="004D2F27">
              <w:rPr>
                <w:lang w:val="en-GB"/>
              </w:rPr>
              <w:t>202</w:t>
            </w:r>
            <w:r w:rsidR="00801C2A" w:rsidRPr="004D2F27">
              <w:rPr>
                <w:lang w:val="en-GB"/>
              </w:rPr>
              <w:t>5</w:t>
            </w:r>
            <w:r w:rsidRPr="004D2F27">
              <w:rPr>
                <w:spacing w:val="-3"/>
                <w:lang w:val="en-GB"/>
              </w:rPr>
              <w:t xml:space="preserve"> </w:t>
            </w:r>
            <w:r w:rsidRPr="004D2F27">
              <w:rPr>
                <w:lang w:val="en-GB"/>
              </w:rPr>
              <w:t>–</w:t>
            </w:r>
            <w:r w:rsidRPr="004D2F27">
              <w:rPr>
                <w:spacing w:val="-4"/>
                <w:lang w:val="en-GB"/>
              </w:rPr>
              <w:t xml:space="preserve"> </w:t>
            </w:r>
            <w:r w:rsidR="00801C2A" w:rsidRPr="004D2F27">
              <w:rPr>
                <w:spacing w:val="-4"/>
                <w:lang w:val="en-GB"/>
              </w:rPr>
              <w:t>31</w:t>
            </w:r>
            <w:r w:rsidRPr="004D2F27">
              <w:rPr>
                <w:spacing w:val="-2"/>
                <w:lang w:val="en-GB"/>
              </w:rPr>
              <w:t xml:space="preserve"> </w:t>
            </w:r>
            <w:r w:rsidRPr="004D2F27">
              <w:rPr>
                <w:lang w:val="en-GB"/>
              </w:rPr>
              <w:t>July</w:t>
            </w:r>
            <w:r w:rsidRPr="004D2F27">
              <w:rPr>
                <w:spacing w:val="-3"/>
                <w:lang w:val="en-GB"/>
              </w:rPr>
              <w:t xml:space="preserve"> </w:t>
            </w:r>
            <w:r w:rsidRPr="004D2F27">
              <w:rPr>
                <w:spacing w:val="-4"/>
                <w:lang w:val="en-GB"/>
              </w:rPr>
              <w:t>202</w:t>
            </w:r>
            <w:r w:rsidR="00801C2A" w:rsidRPr="004D2F27">
              <w:rPr>
                <w:spacing w:val="-4"/>
                <w:lang w:val="en-GB"/>
              </w:rPr>
              <w:t>6</w:t>
            </w:r>
            <w:r w:rsidRPr="004D2F27">
              <w:rPr>
                <w:spacing w:val="-4"/>
                <w:lang w:val="en-GB"/>
              </w:rPr>
              <w:t>)</w:t>
            </w:r>
          </w:p>
        </w:tc>
      </w:tr>
      <w:tr w:rsidR="00AC54AD" w:rsidRPr="00536E5A" w14:paraId="6EFF6A07" w14:textId="77777777">
        <w:trPr>
          <w:trHeight w:val="537"/>
        </w:trPr>
        <w:tc>
          <w:tcPr>
            <w:tcW w:w="2492" w:type="dxa"/>
            <w:shd w:val="clear" w:color="auto" w:fill="DBE4F0"/>
          </w:tcPr>
          <w:p w14:paraId="73A81D5C" w14:textId="77777777" w:rsidR="00AC54AD" w:rsidRPr="004D2F27" w:rsidRDefault="00B7354A">
            <w:pPr>
              <w:pStyle w:val="TableParagraph"/>
              <w:rPr>
                <w:b/>
                <w:lang w:val="en-GB"/>
              </w:rPr>
            </w:pPr>
            <w:r w:rsidRPr="004D2F27">
              <w:rPr>
                <w:b/>
                <w:spacing w:val="-2"/>
                <w:lang w:val="en-GB"/>
              </w:rPr>
              <w:t>Target</w:t>
            </w:r>
          </w:p>
        </w:tc>
        <w:tc>
          <w:tcPr>
            <w:tcW w:w="6527" w:type="dxa"/>
          </w:tcPr>
          <w:p w14:paraId="137B56F9" w14:textId="04744075" w:rsidR="00AC54AD" w:rsidRPr="004D2F27" w:rsidRDefault="00B7354A">
            <w:pPr>
              <w:pStyle w:val="TableParagraph"/>
              <w:rPr>
                <w:lang w:val="en-GB"/>
              </w:rPr>
            </w:pPr>
            <w:r w:rsidRPr="004D2F27">
              <w:rPr>
                <w:lang w:val="en-GB"/>
              </w:rPr>
              <w:t>National</w:t>
            </w:r>
            <w:r w:rsidRPr="004D2F27">
              <w:rPr>
                <w:spacing w:val="-10"/>
                <w:lang w:val="en-GB"/>
              </w:rPr>
              <w:t xml:space="preserve"> </w:t>
            </w:r>
            <w:r w:rsidRPr="004D2F27">
              <w:rPr>
                <w:lang w:val="en-GB"/>
              </w:rPr>
              <w:t>Preventive</w:t>
            </w:r>
            <w:r w:rsidRPr="004D2F27">
              <w:rPr>
                <w:spacing w:val="-7"/>
                <w:lang w:val="en-GB"/>
              </w:rPr>
              <w:t xml:space="preserve"> </w:t>
            </w:r>
            <w:r w:rsidRPr="004D2F27">
              <w:rPr>
                <w:lang w:val="en-GB"/>
              </w:rPr>
              <w:t>Mechanisms</w:t>
            </w:r>
            <w:r w:rsidRPr="004D2F27">
              <w:rPr>
                <w:spacing w:val="-4"/>
                <w:lang w:val="en-GB"/>
              </w:rPr>
              <w:t xml:space="preserve"> </w:t>
            </w:r>
            <w:r w:rsidRPr="004D2F27">
              <w:rPr>
                <w:lang w:val="en-GB"/>
              </w:rPr>
              <w:t>bodies</w:t>
            </w:r>
            <w:r w:rsidRPr="004D2F27">
              <w:rPr>
                <w:spacing w:val="-5"/>
                <w:lang w:val="en-GB"/>
              </w:rPr>
              <w:t xml:space="preserve"> </w:t>
            </w:r>
            <w:r w:rsidRPr="004D2F27">
              <w:rPr>
                <w:lang w:val="en-GB"/>
              </w:rPr>
              <w:t>(NPM)</w:t>
            </w:r>
            <w:r w:rsidRPr="004D2F27">
              <w:rPr>
                <w:spacing w:val="-2"/>
                <w:lang w:val="en-GB"/>
              </w:rPr>
              <w:t xml:space="preserve"> </w:t>
            </w:r>
            <w:r w:rsidRPr="004D2F27">
              <w:rPr>
                <w:lang w:val="en-GB"/>
              </w:rPr>
              <w:t>from</w:t>
            </w:r>
            <w:r w:rsidRPr="004D2F27">
              <w:rPr>
                <w:spacing w:val="-7"/>
                <w:lang w:val="en-GB"/>
              </w:rPr>
              <w:t xml:space="preserve"> </w:t>
            </w:r>
            <w:r w:rsidRPr="004D2F27">
              <w:rPr>
                <w:lang w:val="en-GB"/>
              </w:rPr>
              <w:t>EU</w:t>
            </w:r>
            <w:r w:rsidRPr="004D2F27">
              <w:rPr>
                <w:spacing w:val="-4"/>
                <w:lang w:val="en-GB"/>
              </w:rPr>
              <w:t xml:space="preserve"> </w:t>
            </w:r>
            <w:r w:rsidR="00536E5A" w:rsidRPr="004D2F27">
              <w:rPr>
                <w:spacing w:val="-2"/>
                <w:lang w:val="en-GB"/>
              </w:rPr>
              <w:t>m</w:t>
            </w:r>
            <w:r w:rsidRPr="004D2F27">
              <w:rPr>
                <w:spacing w:val="-2"/>
                <w:lang w:val="en-GB"/>
              </w:rPr>
              <w:t>ember</w:t>
            </w:r>
          </w:p>
          <w:p w14:paraId="7DC44E5E" w14:textId="77777777" w:rsidR="00AC54AD" w:rsidRPr="004D2F27" w:rsidRDefault="00B7354A">
            <w:pPr>
              <w:pStyle w:val="TableParagraph"/>
              <w:spacing w:line="249" w:lineRule="exact"/>
              <w:rPr>
                <w:lang w:val="en-GB"/>
              </w:rPr>
            </w:pPr>
            <w:r w:rsidRPr="004D2F27">
              <w:rPr>
                <w:spacing w:val="-2"/>
                <w:lang w:val="en-GB"/>
              </w:rPr>
              <w:t>States</w:t>
            </w:r>
          </w:p>
        </w:tc>
      </w:tr>
    </w:tbl>
    <w:p w14:paraId="57936E60" w14:textId="77777777" w:rsidR="00AC54AD" w:rsidRPr="004D2F27" w:rsidRDefault="00AC54AD">
      <w:pPr>
        <w:pStyle w:val="BodyText"/>
        <w:spacing w:before="240"/>
        <w:rPr>
          <w:b/>
          <w:lang w:val="en-GB"/>
        </w:rPr>
      </w:pPr>
    </w:p>
    <w:p w14:paraId="4DFE3F00" w14:textId="77777777" w:rsidR="00AC54AD" w:rsidRPr="004D2F27" w:rsidRDefault="00B7354A">
      <w:pPr>
        <w:pStyle w:val="ListParagraph"/>
        <w:numPr>
          <w:ilvl w:val="0"/>
          <w:numId w:val="1"/>
        </w:numPr>
        <w:tabs>
          <w:tab w:val="left" w:pos="242"/>
        </w:tabs>
        <w:ind w:left="242" w:hanging="219"/>
        <w:rPr>
          <w:b/>
          <w:lang w:val="en-GB"/>
        </w:rPr>
      </w:pPr>
      <w:r w:rsidRPr="004D2F27">
        <w:rPr>
          <w:b/>
          <w:lang w:val="en-GB"/>
        </w:rPr>
        <w:t>BACKGROUND</w:t>
      </w:r>
      <w:r w:rsidRPr="004D2F27">
        <w:rPr>
          <w:b/>
          <w:spacing w:val="-5"/>
          <w:lang w:val="en-GB"/>
        </w:rPr>
        <w:t xml:space="preserve"> </w:t>
      </w:r>
      <w:r w:rsidRPr="004D2F27">
        <w:rPr>
          <w:b/>
          <w:lang w:val="en-GB"/>
        </w:rPr>
        <w:t>AND</w:t>
      </w:r>
      <w:r w:rsidRPr="004D2F27">
        <w:rPr>
          <w:b/>
          <w:spacing w:val="-7"/>
          <w:lang w:val="en-GB"/>
        </w:rPr>
        <w:t xml:space="preserve"> </w:t>
      </w:r>
      <w:r w:rsidRPr="004D2F27">
        <w:rPr>
          <w:b/>
          <w:lang w:val="en-GB"/>
        </w:rPr>
        <w:t>PRIOR</w:t>
      </w:r>
      <w:r w:rsidRPr="004D2F27">
        <w:rPr>
          <w:b/>
          <w:spacing w:val="-4"/>
          <w:lang w:val="en-GB"/>
        </w:rPr>
        <w:t xml:space="preserve"> </w:t>
      </w:r>
      <w:r w:rsidRPr="004D2F27">
        <w:rPr>
          <w:b/>
          <w:spacing w:val="-2"/>
          <w:lang w:val="en-GB"/>
        </w:rPr>
        <w:t>COOPERATION</w:t>
      </w:r>
    </w:p>
    <w:p w14:paraId="4C804FA0" w14:textId="3C03071F" w:rsidR="00AC54AD" w:rsidRPr="004D2F27" w:rsidRDefault="00B7354A" w:rsidP="004D2F27">
      <w:pPr>
        <w:pStyle w:val="BodyText"/>
        <w:spacing w:before="120" w:after="120"/>
        <w:ind w:left="23" w:right="18"/>
        <w:jc w:val="both"/>
        <w:rPr>
          <w:lang w:val="en-GB"/>
        </w:rPr>
      </w:pPr>
      <w:r w:rsidRPr="004D2F27">
        <w:rPr>
          <w:lang w:val="en-GB"/>
        </w:rPr>
        <w:t xml:space="preserve">The European </w:t>
      </w:r>
      <w:r w:rsidRPr="004D2F27">
        <w:rPr>
          <w:lang w:val="en-GB"/>
        </w:rPr>
        <w:t>NPM Forum</w:t>
      </w:r>
      <w:r w:rsidR="00420DFB">
        <w:rPr>
          <w:lang w:val="en-GB"/>
        </w:rPr>
        <w:t xml:space="preserve"> is an</w:t>
      </w:r>
      <w:r w:rsidRPr="004D2F27">
        <w:rPr>
          <w:lang w:val="en-GB"/>
        </w:rPr>
        <w:t xml:space="preserve"> interactive</w:t>
      </w:r>
      <w:r w:rsidRPr="004D2F27">
        <w:rPr>
          <w:spacing w:val="-4"/>
          <w:lang w:val="en-GB"/>
        </w:rPr>
        <w:t xml:space="preserve"> </w:t>
      </w:r>
      <w:r w:rsidRPr="004D2F27">
        <w:rPr>
          <w:lang w:val="en-GB"/>
        </w:rPr>
        <w:t>peer-to-peer</w:t>
      </w:r>
      <w:r w:rsidRPr="004D2F27">
        <w:rPr>
          <w:spacing w:val="-4"/>
          <w:lang w:val="en-GB"/>
        </w:rPr>
        <w:t xml:space="preserve"> </w:t>
      </w:r>
      <w:r w:rsidRPr="004D2F27">
        <w:rPr>
          <w:lang w:val="en-GB"/>
        </w:rPr>
        <w:t>network</w:t>
      </w:r>
      <w:r w:rsidRPr="004D2F27">
        <w:rPr>
          <w:spacing w:val="-4"/>
          <w:lang w:val="en-GB"/>
        </w:rPr>
        <w:t xml:space="preserve"> </w:t>
      </w:r>
      <w:r w:rsidRPr="004D2F27">
        <w:rPr>
          <w:lang w:val="en-GB"/>
        </w:rPr>
        <w:t>that</w:t>
      </w:r>
      <w:r w:rsidRPr="004D2F27">
        <w:rPr>
          <w:spacing w:val="-7"/>
          <w:lang w:val="en-GB"/>
        </w:rPr>
        <w:t xml:space="preserve"> </w:t>
      </w:r>
      <w:r w:rsidRPr="004D2F27">
        <w:rPr>
          <w:lang w:val="en-GB"/>
        </w:rPr>
        <w:t>brings together National Preventive Mechanisms</w:t>
      </w:r>
      <w:r w:rsidRPr="004D2F27">
        <w:rPr>
          <w:spacing w:val="-11"/>
          <w:lang w:val="en-GB"/>
        </w:rPr>
        <w:t xml:space="preserve"> </w:t>
      </w:r>
      <w:r w:rsidRPr="004D2F27">
        <w:rPr>
          <w:lang w:val="en-GB"/>
        </w:rPr>
        <w:t>in</w:t>
      </w:r>
      <w:r w:rsidRPr="004D2F27">
        <w:rPr>
          <w:spacing w:val="-12"/>
          <w:lang w:val="en-GB"/>
        </w:rPr>
        <w:t xml:space="preserve"> </w:t>
      </w:r>
      <w:r w:rsidRPr="004D2F27">
        <w:rPr>
          <w:lang w:val="en-GB"/>
        </w:rPr>
        <w:t>EU</w:t>
      </w:r>
      <w:r w:rsidRPr="004D2F27">
        <w:rPr>
          <w:spacing w:val="-10"/>
          <w:lang w:val="en-GB"/>
        </w:rPr>
        <w:t xml:space="preserve"> </w:t>
      </w:r>
      <w:r w:rsidRPr="004D2F27">
        <w:rPr>
          <w:lang w:val="en-GB"/>
        </w:rPr>
        <w:t>member</w:t>
      </w:r>
      <w:r w:rsidRPr="004D2F27">
        <w:rPr>
          <w:spacing w:val="-10"/>
          <w:lang w:val="en-GB"/>
        </w:rPr>
        <w:t xml:space="preserve"> </w:t>
      </w:r>
      <w:r w:rsidRPr="004D2F27">
        <w:rPr>
          <w:lang w:val="en-GB"/>
        </w:rPr>
        <w:t>States</w:t>
      </w:r>
      <w:r w:rsidR="00420DFB">
        <w:rPr>
          <w:lang w:val="en-GB"/>
        </w:rPr>
        <w:t xml:space="preserve"> and beyond</w:t>
      </w:r>
      <w:r w:rsidRPr="004D2F27">
        <w:rPr>
          <w:lang w:val="en-GB"/>
        </w:rPr>
        <w:t>,</w:t>
      </w:r>
      <w:r w:rsidRPr="004D2F27">
        <w:rPr>
          <w:spacing w:val="-10"/>
          <w:lang w:val="en-GB"/>
        </w:rPr>
        <w:t xml:space="preserve"> </w:t>
      </w:r>
      <w:r w:rsidRPr="004D2F27">
        <w:rPr>
          <w:lang w:val="en-GB"/>
        </w:rPr>
        <w:t>mandated</w:t>
      </w:r>
      <w:r w:rsidRPr="004D2F27">
        <w:rPr>
          <w:spacing w:val="-13"/>
          <w:lang w:val="en-GB"/>
        </w:rPr>
        <w:t xml:space="preserve"> </w:t>
      </w:r>
      <w:r w:rsidRPr="004D2F27">
        <w:rPr>
          <w:lang w:val="en-GB"/>
        </w:rPr>
        <w:t>to</w:t>
      </w:r>
      <w:r w:rsidRPr="004D2F27">
        <w:rPr>
          <w:spacing w:val="-8"/>
          <w:lang w:val="en-GB"/>
        </w:rPr>
        <w:t xml:space="preserve"> </w:t>
      </w:r>
      <w:r w:rsidRPr="004D2F27">
        <w:rPr>
          <w:lang w:val="en-GB"/>
        </w:rPr>
        <w:t>conduct</w:t>
      </w:r>
      <w:r w:rsidRPr="004D2F27">
        <w:rPr>
          <w:spacing w:val="-10"/>
          <w:lang w:val="en-GB"/>
        </w:rPr>
        <w:t xml:space="preserve"> </w:t>
      </w:r>
      <w:r w:rsidRPr="004D2F27">
        <w:rPr>
          <w:lang w:val="en-GB"/>
        </w:rPr>
        <w:t>regular</w:t>
      </w:r>
      <w:r w:rsidRPr="004D2F27">
        <w:rPr>
          <w:spacing w:val="-11"/>
          <w:lang w:val="en-GB"/>
        </w:rPr>
        <w:t xml:space="preserve"> </w:t>
      </w:r>
      <w:r w:rsidRPr="004D2F27">
        <w:rPr>
          <w:lang w:val="en-GB"/>
        </w:rPr>
        <w:t>monitoring</w:t>
      </w:r>
      <w:r w:rsidRPr="004D2F27">
        <w:rPr>
          <w:spacing w:val="-9"/>
          <w:lang w:val="en-GB"/>
        </w:rPr>
        <w:t xml:space="preserve"> </w:t>
      </w:r>
      <w:r w:rsidRPr="004D2F27">
        <w:rPr>
          <w:lang w:val="en-GB"/>
        </w:rPr>
        <w:t>visits</w:t>
      </w:r>
      <w:r w:rsidRPr="004D2F27">
        <w:rPr>
          <w:spacing w:val="-10"/>
          <w:lang w:val="en-GB"/>
        </w:rPr>
        <w:t xml:space="preserve"> </w:t>
      </w:r>
      <w:r w:rsidRPr="004D2F27">
        <w:rPr>
          <w:lang w:val="en-GB"/>
        </w:rPr>
        <w:t>to</w:t>
      </w:r>
      <w:r w:rsidRPr="004D2F27">
        <w:rPr>
          <w:spacing w:val="-9"/>
          <w:lang w:val="en-GB"/>
        </w:rPr>
        <w:t xml:space="preserve"> </w:t>
      </w:r>
      <w:r w:rsidRPr="004D2F27">
        <w:rPr>
          <w:lang w:val="en-GB"/>
        </w:rPr>
        <w:t>all</w:t>
      </w:r>
      <w:r w:rsidRPr="004D2F27">
        <w:rPr>
          <w:spacing w:val="-9"/>
          <w:lang w:val="en-GB"/>
        </w:rPr>
        <w:t xml:space="preserve"> </w:t>
      </w:r>
      <w:r w:rsidRPr="004D2F27">
        <w:rPr>
          <w:lang w:val="en-GB"/>
        </w:rPr>
        <w:t xml:space="preserve">places of deprivation of liberty in </w:t>
      </w:r>
      <w:r w:rsidRPr="004D2F27">
        <w:rPr>
          <w:lang w:val="en-GB"/>
        </w:rPr>
        <w:t>their respective jurisdictions.</w:t>
      </w:r>
    </w:p>
    <w:p w14:paraId="717B926D" w14:textId="6D1FB949" w:rsidR="00AC54AD" w:rsidRPr="004D2F27" w:rsidRDefault="00B7354A" w:rsidP="004D2F27">
      <w:pPr>
        <w:pStyle w:val="BodyText"/>
        <w:spacing w:before="120" w:after="120"/>
        <w:ind w:left="23" w:right="17"/>
        <w:jc w:val="both"/>
        <w:rPr>
          <w:lang w:val="en-GB"/>
        </w:rPr>
      </w:pPr>
      <w:r w:rsidRPr="004D2F27">
        <w:rPr>
          <w:lang w:val="en-GB"/>
        </w:rPr>
        <w:t xml:space="preserve">NPMs are key players in the protection of fundamental human rights of persons deprived of their liberty in prisons, but also in other places of deprivation of liberty (police stations, psychiatric establishments, social care homes, </w:t>
      </w:r>
      <w:r w:rsidR="000502EE">
        <w:rPr>
          <w:lang w:val="en-GB"/>
        </w:rPr>
        <w:t xml:space="preserve">immigration detention centres, </w:t>
      </w:r>
      <w:r w:rsidRPr="004D2F27">
        <w:rPr>
          <w:lang w:val="en-GB"/>
        </w:rPr>
        <w:t>etc.). The role of NPMs is to independently visit these places at national and local levels, write reports on their findings, and examine their compliance with fundamental human rights of persons deprived of their liberty. They also issue recommendations to the authorities concerned and suggest improvements.</w:t>
      </w:r>
    </w:p>
    <w:p w14:paraId="2CAD4F9E" w14:textId="5B34FC9D" w:rsidR="00AC54AD" w:rsidRPr="004D2F27" w:rsidRDefault="00B7354A" w:rsidP="004D2F27">
      <w:pPr>
        <w:pStyle w:val="BodyText"/>
        <w:spacing w:before="120" w:after="120"/>
        <w:ind w:left="23" w:right="16"/>
        <w:jc w:val="both"/>
        <w:rPr>
          <w:lang w:val="en-GB"/>
        </w:rPr>
      </w:pPr>
      <w:r w:rsidRPr="004D2F27">
        <w:rPr>
          <w:lang w:val="en-GB"/>
        </w:rPr>
        <w:t>Since</w:t>
      </w:r>
      <w:r w:rsidRPr="004D2F27">
        <w:rPr>
          <w:spacing w:val="-3"/>
          <w:lang w:val="en-GB"/>
        </w:rPr>
        <w:t xml:space="preserve"> </w:t>
      </w:r>
      <w:r w:rsidRPr="004D2F27">
        <w:rPr>
          <w:lang w:val="en-GB"/>
        </w:rPr>
        <w:t>the</w:t>
      </w:r>
      <w:r w:rsidRPr="004D2F27">
        <w:rPr>
          <w:spacing w:val="-5"/>
          <w:lang w:val="en-GB"/>
        </w:rPr>
        <w:t xml:space="preserve"> </w:t>
      </w:r>
      <w:r w:rsidRPr="004D2F27">
        <w:rPr>
          <w:lang w:val="en-GB"/>
        </w:rPr>
        <w:t>entry</w:t>
      </w:r>
      <w:r w:rsidRPr="004D2F27">
        <w:rPr>
          <w:spacing w:val="-5"/>
          <w:lang w:val="en-GB"/>
        </w:rPr>
        <w:t xml:space="preserve"> </w:t>
      </w:r>
      <w:r w:rsidRPr="004D2F27">
        <w:rPr>
          <w:lang w:val="en-GB"/>
        </w:rPr>
        <w:t>into</w:t>
      </w:r>
      <w:r w:rsidRPr="004D2F27">
        <w:rPr>
          <w:spacing w:val="-4"/>
          <w:lang w:val="en-GB"/>
        </w:rPr>
        <w:t xml:space="preserve"> </w:t>
      </w:r>
      <w:r w:rsidRPr="004D2F27">
        <w:rPr>
          <w:lang w:val="en-GB"/>
        </w:rPr>
        <w:t>force</w:t>
      </w:r>
      <w:r w:rsidRPr="004D2F27">
        <w:rPr>
          <w:spacing w:val="-5"/>
          <w:lang w:val="en-GB"/>
        </w:rPr>
        <w:t xml:space="preserve"> </w:t>
      </w:r>
      <w:r w:rsidRPr="004D2F27">
        <w:rPr>
          <w:lang w:val="en-GB"/>
        </w:rPr>
        <w:t>of</w:t>
      </w:r>
      <w:r w:rsidRPr="004D2F27">
        <w:rPr>
          <w:spacing w:val="-3"/>
          <w:lang w:val="en-GB"/>
        </w:rPr>
        <w:t xml:space="preserve"> </w:t>
      </w:r>
      <w:r w:rsidRPr="004D2F27">
        <w:rPr>
          <w:lang w:val="en-GB"/>
        </w:rPr>
        <w:t>the</w:t>
      </w:r>
      <w:r w:rsidRPr="004D2F27">
        <w:rPr>
          <w:spacing w:val="-3"/>
          <w:lang w:val="en-GB"/>
        </w:rPr>
        <w:t xml:space="preserve"> </w:t>
      </w:r>
      <w:r w:rsidR="00420DFB" w:rsidRPr="00420DFB">
        <w:rPr>
          <w:spacing w:val="-3"/>
          <w:lang w:val="en-GB"/>
        </w:rPr>
        <w:t>Optional Protocol to the Convention against Torture and other Cruel, Inhuman or Degrading Treatment or Punishment</w:t>
      </w:r>
      <w:r w:rsidR="00420DFB">
        <w:rPr>
          <w:spacing w:val="-3"/>
          <w:lang w:val="en-GB"/>
        </w:rPr>
        <w:t xml:space="preserve"> (</w:t>
      </w:r>
      <w:r w:rsidRPr="004D2F27">
        <w:rPr>
          <w:lang w:val="en-GB"/>
        </w:rPr>
        <w:t>OPCAT</w:t>
      </w:r>
      <w:r w:rsidR="00420DFB">
        <w:rPr>
          <w:lang w:val="en-GB"/>
        </w:rPr>
        <w:t>)</w:t>
      </w:r>
      <w:r w:rsidRPr="004D2F27">
        <w:rPr>
          <w:spacing w:val="-5"/>
          <w:lang w:val="en-GB"/>
        </w:rPr>
        <w:t xml:space="preserve"> </w:t>
      </w:r>
      <w:r w:rsidRPr="004D2F27">
        <w:rPr>
          <w:lang w:val="en-GB"/>
        </w:rPr>
        <w:t>in</w:t>
      </w:r>
      <w:r w:rsidRPr="004D2F27">
        <w:rPr>
          <w:spacing w:val="-5"/>
          <w:lang w:val="en-GB"/>
        </w:rPr>
        <w:t xml:space="preserve"> </w:t>
      </w:r>
      <w:r w:rsidRPr="004D2F27">
        <w:rPr>
          <w:lang w:val="en-GB"/>
        </w:rPr>
        <w:t>2006,</w:t>
      </w:r>
      <w:r w:rsidRPr="004D2F27">
        <w:rPr>
          <w:spacing w:val="-5"/>
          <w:lang w:val="en-GB"/>
        </w:rPr>
        <w:t xml:space="preserve"> </w:t>
      </w:r>
      <w:r w:rsidRPr="004D2F27">
        <w:rPr>
          <w:lang w:val="en-GB"/>
        </w:rPr>
        <w:t>the</w:t>
      </w:r>
      <w:r w:rsidRPr="004D2F27">
        <w:rPr>
          <w:spacing w:val="-3"/>
          <w:lang w:val="en-GB"/>
        </w:rPr>
        <w:t xml:space="preserve"> </w:t>
      </w:r>
      <w:r w:rsidRPr="004D2F27">
        <w:rPr>
          <w:lang w:val="en-GB"/>
        </w:rPr>
        <w:t>Council</w:t>
      </w:r>
      <w:r w:rsidRPr="004D2F27">
        <w:rPr>
          <w:spacing w:val="-4"/>
          <w:lang w:val="en-GB"/>
        </w:rPr>
        <w:t xml:space="preserve"> </w:t>
      </w:r>
      <w:r w:rsidRPr="004D2F27">
        <w:rPr>
          <w:lang w:val="en-GB"/>
        </w:rPr>
        <w:t>of</w:t>
      </w:r>
      <w:r w:rsidRPr="004D2F27">
        <w:rPr>
          <w:spacing w:val="-6"/>
          <w:lang w:val="en-GB"/>
        </w:rPr>
        <w:t xml:space="preserve"> </w:t>
      </w:r>
      <w:r w:rsidRPr="004D2F27">
        <w:rPr>
          <w:lang w:val="en-GB"/>
        </w:rPr>
        <w:t>Europe</w:t>
      </w:r>
      <w:r w:rsidRPr="004D2F27">
        <w:rPr>
          <w:spacing w:val="-3"/>
          <w:lang w:val="en-GB"/>
        </w:rPr>
        <w:t xml:space="preserve"> </w:t>
      </w:r>
      <w:r w:rsidRPr="004D2F27">
        <w:rPr>
          <w:lang w:val="en-GB"/>
        </w:rPr>
        <w:t>has</w:t>
      </w:r>
      <w:r w:rsidRPr="004D2F27">
        <w:rPr>
          <w:spacing w:val="-3"/>
          <w:lang w:val="en-GB"/>
        </w:rPr>
        <w:t xml:space="preserve"> </w:t>
      </w:r>
      <w:r w:rsidRPr="004D2F27">
        <w:rPr>
          <w:lang w:val="en-GB"/>
        </w:rPr>
        <w:t>been</w:t>
      </w:r>
      <w:r w:rsidRPr="004D2F27">
        <w:rPr>
          <w:spacing w:val="-5"/>
          <w:lang w:val="en-GB"/>
        </w:rPr>
        <w:t xml:space="preserve"> </w:t>
      </w:r>
      <w:r w:rsidRPr="004D2F27">
        <w:rPr>
          <w:lang w:val="en-GB"/>
        </w:rPr>
        <w:t>assisting</w:t>
      </w:r>
      <w:r w:rsidRPr="004D2F27">
        <w:rPr>
          <w:spacing w:val="-4"/>
          <w:lang w:val="en-GB"/>
        </w:rPr>
        <w:t xml:space="preserve"> </w:t>
      </w:r>
      <w:r w:rsidRPr="004D2F27">
        <w:rPr>
          <w:lang w:val="en-GB"/>
        </w:rPr>
        <w:t>in</w:t>
      </w:r>
      <w:r w:rsidRPr="004D2F27">
        <w:rPr>
          <w:spacing w:val="-5"/>
          <w:lang w:val="en-GB"/>
        </w:rPr>
        <w:t xml:space="preserve"> </w:t>
      </w:r>
      <w:r w:rsidRPr="004D2F27">
        <w:rPr>
          <w:lang w:val="en-GB"/>
        </w:rPr>
        <w:t>setting</w:t>
      </w:r>
      <w:r w:rsidRPr="004D2F27">
        <w:rPr>
          <w:spacing w:val="-4"/>
          <w:lang w:val="en-GB"/>
        </w:rPr>
        <w:t xml:space="preserve"> </w:t>
      </w:r>
      <w:r w:rsidRPr="004D2F27">
        <w:rPr>
          <w:lang w:val="en-GB"/>
        </w:rPr>
        <w:t xml:space="preserve">up NPMs in Europe and providing support to these bodies. In continuation of previous efforts and cooperation, the </w:t>
      </w:r>
      <w:r w:rsidR="00420DFB">
        <w:rPr>
          <w:lang w:val="en-GB"/>
        </w:rPr>
        <w:t>Forum</w:t>
      </w:r>
      <w:r w:rsidR="00420DFB" w:rsidRPr="004D2F27">
        <w:rPr>
          <w:lang w:val="en-GB"/>
        </w:rPr>
        <w:t xml:space="preserve"> </w:t>
      </w:r>
      <w:r w:rsidRPr="004D2F27">
        <w:rPr>
          <w:lang w:val="en-GB"/>
        </w:rPr>
        <w:t>allowed to establish and maintain a loose network of NPMs. This included support for their establishment, initial training of their members and staff, and the transfer of knowledge and expertise from its expert monitoring body, the European Committee for the Prevention of Torture and Inhuman or Degrading Treatment of Punishment (CPT).</w:t>
      </w:r>
    </w:p>
    <w:p w14:paraId="593BA551" w14:textId="23508866" w:rsidR="00AC54AD" w:rsidRPr="004D2F27" w:rsidRDefault="00B7354A" w:rsidP="004D2F27">
      <w:pPr>
        <w:pStyle w:val="BodyText"/>
        <w:spacing w:before="120" w:after="120"/>
        <w:ind w:left="23" w:right="17"/>
        <w:jc w:val="both"/>
        <w:rPr>
          <w:lang w:val="en-GB"/>
        </w:rPr>
      </w:pPr>
      <w:r w:rsidRPr="004D2F27">
        <w:rPr>
          <w:lang w:val="en-GB"/>
        </w:rPr>
        <w:t xml:space="preserve">The </w:t>
      </w:r>
      <w:r w:rsidR="00420DFB">
        <w:rPr>
          <w:lang w:val="en-GB"/>
        </w:rPr>
        <w:t>Forum</w:t>
      </w:r>
      <w:r w:rsidR="00420DFB" w:rsidRPr="004D2F27">
        <w:rPr>
          <w:lang w:val="en-GB"/>
        </w:rPr>
        <w:t xml:space="preserve"> </w:t>
      </w:r>
      <w:r w:rsidRPr="004D2F27">
        <w:rPr>
          <w:lang w:val="en-GB"/>
        </w:rPr>
        <w:t xml:space="preserve">provides a </w:t>
      </w:r>
      <w:r w:rsidR="00420DFB">
        <w:rPr>
          <w:lang w:val="en-GB"/>
        </w:rPr>
        <w:t>platform</w:t>
      </w:r>
      <w:r w:rsidR="00420DFB" w:rsidRPr="004D2F27">
        <w:rPr>
          <w:lang w:val="en-GB"/>
        </w:rPr>
        <w:t xml:space="preserve"> </w:t>
      </w:r>
      <w:r w:rsidRPr="004D2F27">
        <w:rPr>
          <w:lang w:val="en-GB"/>
        </w:rPr>
        <w:t xml:space="preserve">for </w:t>
      </w:r>
      <w:r w:rsidR="00A23252">
        <w:rPr>
          <w:lang w:val="en-GB"/>
        </w:rPr>
        <w:t xml:space="preserve">regular </w:t>
      </w:r>
      <w:r w:rsidRPr="004D2F27">
        <w:rPr>
          <w:lang w:val="en-GB"/>
        </w:rPr>
        <w:t xml:space="preserve">exchange and discussion to assist European NPMs in carrying out their mandate effectively and </w:t>
      </w:r>
      <w:r w:rsidR="00420DFB" w:rsidRPr="00420DFB">
        <w:rPr>
          <w:lang w:val="en-GB"/>
        </w:rPr>
        <w:t>independently and</w:t>
      </w:r>
      <w:r w:rsidRPr="004D2F27">
        <w:rPr>
          <w:lang w:val="en-GB"/>
        </w:rPr>
        <w:t xml:space="preserve"> consequently enhancing mutual trust in detention conditions in EU Member States and beyond. </w:t>
      </w:r>
      <w:r w:rsidR="00A23252">
        <w:rPr>
          <w:lang w:val="en-GB"/>
        </w:rPr>
        <w:t>W</w:t>
      </w:r>
      <w:r w:rsidRPr="004D2F27">
        <w:rPr>
          <w:lang w:val="en-GB"/>
        </w:rPr>
        <w:t xml:space="preserve">hile the project only </w:t>
      </w:r>
      <w:r w:rsidR="00A23252">
        <w:rPr>
          <w:lang w:val="en-GB"/>
        </w:rPr>
        <w:t xml:space="preserve">funds </w:t>
      </w:r>
      <w:r w:rsidRPr="004D2F27">
        <w:rPr>
          <w:lang w:val="en-GB"/>
        </w:rPr>
        <w:t>support</w:t>
      </w:r>
      <w:r w:rsidR="00A23252">
        <w:rPr>
          <w:lang w:val="en-GB"/>
        </w:rPr>
        <w:t xml:space="preserve"> for</w:t>
      </w:r>
      <w:r w:rsidRPr="004D2F27">
        <w:rPr>
          <w:lang w:val="en-GB"/>
        </w:rPr>
        <w:t xml:space="preserve"> E</w:t>
      </w:r>
      <w:r w:rsidR="00A23252">
        <w:rPr>
          <w:lang w:val="en-GB"/>
        </w:rPr>
        <w:t xml:space="preserve">uropean </w:t>
      </w:r>
      <w:r w:rsidRPr="004D2F27">
        <w:rPr>
          <w:lang w:val="en-GB"/>
        </w:rPr>
        <w:t>U</w:t>
      </w:r>
      <w:r w:rsidR="00A23252">
        <w:rPr>
          <w:lang w:val="en-GB"/>
        </w:rPr>
        <w:t>nion</w:t>
      </w:r>
      <w:r w:rsidRPr="004D2F27">
        <w:rPr>
          <w:lang w:val="en-GB"/>
        </w:rPr>
        <w:t xml:space="preserve"> NPMs,</w:t>
      </w:r>
      <w:r w:rsidRPr="004D2F27">
        <w:rPr>
          <w:spacing w:val="-8"/>
          <w:lang w:val="en-GB"/>
        </w:rPr>
        <w:t xml:space="preserve"> </w:t>
      </w:r>
      <w:r w:rsidRPr="004D2F27">
        <w:rPr>
          <w:lang w:val="en-GB"/>
        </w:rPr>
        <w:t>the</w:t>
      </w:r>
      <w:r w:rsidRPr="004D2F27">
        <w:rPr>
          <w:spacing w:val="-6"/>
          <w:lang w:val="en-GB"/>
        </w:rPr>
        <w:t xml:space="preserve"> </w:t>
      </w:r>
      <w:r w:rsidR="00A23252">
        <w:rPr>
          <w:spacing w:val="-6"/>
          <w:lang w:val="en-GB"/>
        </w:rPr>
        <w:t xml:space="preserve">participation in the </w:t>
      </w:r>
      <w:r w:rsidRPr="004D2F27">
        <w:rPr>
          <w:lang w:val="en-GB"/>
        </w:rPr>
        <w:t>Forum</w:t>
      </w:r>
      <w:r w:rsidRPr="004D2F27">
        <w:rPr>
          <w:spacing w:val="-5"/>
          <w:lang w:val="en-GB"/>
        </w:rPr>
        <w:t xml:space="preserve"> </w:t>
      </w:r>
      <w:r w:rsidRPr="004D2F27">
        <w:rPr>
          <w:lang w:val="en-GB"/>
        </w:rPr>
        <w:t>goes</w:t>
      </w:r>
      <w:r w:rsidRPr="004D2F27">
        <w:rPr>
          <w:spacing w:val="-6"/>
          <w:lang w:val="en-GB"/>
        </w:rPr>
        <w:t xml:space="preserve"> </w:t>
      </w:r>
      <w:r w:rsidRPr="004D2F27">
        <w:rPr>
          <w:lang w:val="en-GB"/>
        </w:rPr>
        <w:t>beyond</w:t>
      </w:r>
      <w:r w:rsidR="00A23252">
        <w:rPr>
          <w:lang w:val="en-GB"/>
        </w:rPr>
        <w:t xml:space="preserve"> the European Union,</w:t>
      </w:r>
      <w:r w:rsidRPr="004D2F27">
        <w:rPr>
          <w:spacing w:val="-6"/>
          <w:lang w:val="en-GB"/>
        </w:rPr>
        <w:t xml:space="preserve"> </w:t>
      </w:r>
      <w:r w:rsidRPr="004D2F27">
        <w:rPr>
          <w:lang w:val="en-GB"/>
        </w:rPr>
        <w:t>and</w:t>
      </w:r>
      <w:r w:rsidRPr="004D2F27">
        <w:rPr>
          <w:spacing w:val="-6"/>
          <w:lang w:val="en-GB"/>
        </w:rPr>
        <w:t xml:space="preserve"> </w:t>
      </w:r>
      <w:r w:rsidR="00A23252">
        <w:rPr>
          <w:spacing w:val="-6"/>
          <w:lang w:val="en-GB"/>
        </w:rPr>
        <w:t>NPMs from</w:t>
      </w:r>
      <w:r w:rsidRPr="004D2F27">
        <w:rPr>
          <w:spacing w:val="-6"/>
          <w:lang w:val="en-GB"/>
        </w:rPr>
        <w:t xml:space="preserve"> </w:t>
      </w:r>
      <w:r w:rsidRPr="004D2F27">
        <w:rPr>
          <w:lang w:val="en-GB"/>
        </w:rPr>
        <w:t>non-EU</w:t>
      </w:r>
      <w:r w:rsidRPr="004D2F27">
        <w:rPr>
          <w:spacing w:val="-8"/>
          <w:lang w:val="en-GB"/>
        </w:rPr>
        <w:t xml:space="preserve"> </w:t>
      </w:r>
      <w:r w:rsidRPr="004D2F27">
        <w:rPr>
          <w:lang w:val="en-GB"/>
        </w:rPr>
        <w:t>member</w:t>
      </w:r>
      <w:r w:rsidRPr="004D2F27">
        <w:rPr>
          <w:spacing w:val="-6"/>
          <w:lang w:val="en-GB"/>
        </w:rPr>
        <w:t xml:space="preserve"> </w:t>
      </w:r>
      <w:r w:rsidRPr="004D2F27">
        <w:rPr>
          <w:lang w:val="en-GB"/>
        </w:rPr>
        <w:t>states,</w:t>
      </w:r>
      <w:r w:rsidRPr="004D2F27">
        <w:rPr>
          <w:spacing w:val="-6"/>
          <w:lang w:val="en-GB"/>
        </w:rPr>
        <w:t xml:space="preserve"> </w:t>
      </w:r>
      <w:r w:rsidRPr="004D2F27">
        <w:rPr>
          <w:lang w:val="en-GB"/>
        </w:rPr>
        <w:t>as</w:t>
      </w:r>
      <w:r w:rsidRPr="004D2F27">
        <w:rPr>
          <w:spacing w:val="-6"/>
          <w:lang w:val="en-GB"/>
        </w:rPr>
        <w:t xml:space="preserve"> </w:t>
      </w:r>
      <w:r w:rsidRPr="004D2F27">
        <w:rPr>
          <w:lang w:val="en-GB"/>
        </w:rPr>
        <w:t>well</w:t>
      </w:r>
      <w:r w:rsidRPr="004D2F27">
        <w:rPr>
          <w:spacing w:val="-6"/>
          <w:lang w:val="en-GB"/>
        </w:rPr>
        <w:t xml:space="preserve"> </w:t>
      </w:r>
      <w:r w:rsidRPr="004D2F27">
        <w:rPr>
          <w:lang w:val="en-GB"/>
        </w:rPr>
        <w:t>as</w:t>
      </w:r>
      <w:r w:rsidRPr="004D2F27">
        <w:rPr>
          <w:spacing w:val="-7"/>
          <w:lang w:val="en-GB"/>
        </w:rPr>
        <w:t xml:space="preserve"> </w:t>
      </w:r>
      <w:r w:rsidR="00A23252">
        <w:rPr>
          <w:spacing w:val="-7"/>
          <w:lang w:val="en-GB"/>
        </w:rPr>
        <w:t xml:space="preserve">states which </w:t>
      </w:r>
      <w:proofErr w:type="gramStart"/>
      <w:r w:rsidR="00A23252">
        <w:rPr>
          <w:spacing w:val="-7"/>
          <w:lang w:val="en-GB"/>
        </w:rPr>
        <w:t xml:space="preserve">are </w:t>
      </w:r>
      <w:r w:rsidR="00A23252">
        <w:rPr>
          <w:lang w:val="en-GB"/>
        </w:rPr>
        <w:t xml:space="preserve"> not</w:t>
      </w:r>
      <w:proofErr w:type="gramEnd"/>
      <w:r w:rsidR="00A23252">
        <w:rPr>
          <w:lang w:val="en-GB"/>
        </w:rPr>
        <w:t xml:space="preserve"> members of </w:t>
      </w:r>
      <w:r w:rsidRPr="004D2F27">
        <w:rPr>
          <w:lang w:val="en-GB"/>
        </w:rPr>
        <w:t>Council</w:t>
      </w:r>
      <w:r w:rsidRPr="004D2F27">
        <w:rPr>
          <w:spacing w:val="-8"/>
          <w:lang w:val="en-GB"/>
        </w:rPr>
        <w:t xml:space="preserve"> </w:t>
      </w:r>
      <w:r w:rsidRPr="004D2F27">
        <w:rPr>
          <w:lang w:val="en-GB"/>
        </w:rPr>
        <w:t>of</w:t>
      </w:r>
      <w:r w:rsidRPr="004D2F27">
        <w:rPr>
          <w:spacing w:val="-6"/>
          <w:lang w:val="en-GB"/>
        </w:rPr>
        <w:t xml:space="preserve"> </w:t>
      </w:r>
      <w:r w:rsidRPr="004D2F27">
        <w:rPr>
          <w:lang w:val="en-GB"/>
        </w:rPr>
        <w:t>Europe</w:t>
      </w:r>
      <w:r w:rsidRPr="004D2F27">
        <w:rPr>
          <w:lang w:val="en-GB"/>
        </w:rPr>
        <w:t>, notably countries in the MENA region (Morocco and Tunisia)</w:t>
      </w:r>
      <w:r w:rsidR="00A23252">
        <w:rPr>
          <w:lang w:val="en-GB"/>
        </w:rPr>
        <w:t xml:space="preserve"> take active part in the exchanges</w:t>
      </w:r>
      <w:r w:rsidRPr="004D2F27">
        <w:rPr>
          <w:lang w:val="en-GB"/>
        </w:rPr>
        <w:t>.</w:t>
      </w:r>
      <w:r w:rsidR="00A23252">
        <w:rPr>
          <w:lang w:val="en-GB"/>
        </w:rPr>
        <w:t xml:space="preserve"> This widens the breadth of expertise, experiences and practices that can be enjoyed by the direct beneficiaries of the Project.</w:t>
      </w:r>
    </w:p>
    <w:p w14:paraId="7E35C6B2" w14:textId="77777777" w:rsidR="00497795" w:rsidRPr="004D2F27" w:rsidRDefault="00497795">
      <w:pPr>
        <w:pStyle w:val="BodyText"/>
        <w:ind w:left="23" w:right="17"/>
        <w:jc w:val="both"/>
        <w:rPr>
          <w:lang w:val="en-GB"/>
        </w:rPr>
      </w:pPr>
    </w:p>
    <w:p w14:paraId="604200B2" w14:textId="77777777" w:rsidR="00AC54AD" w:rsidRPr="004D2F27" w:rsidRDefault="00B7354A">
      <w:pPr>
        <w:pStyle w:val="Heading1"/>
        <w:numPr>
          <w:ilvl w:val="0"/>
          <w:numId w:val="1"/>
        </w:numPr>
        <w:tabs>
          <w:tab w:val="left" w:pos="244"/>
        </w:tabs>
        <w:spacing w:before="268"/>
        <w:ind w:left="244"/>
        <w:rPr>
          <w:lang w:val="en-GB"/>
        </w:rPr>
      </w:pPr>
      <w:r w:rsidRPr="004D2F27">
        <w:rPr>
          <w:lang w:val="en-GB"/>
        </w:rPr>
        <w:t>OVERALL</w:t>
      </w:r>
      <w:r w:rsidRPr="004D2F27">
        <w:rPr>
          <w:spacing w:val="-5"/>
          <w:lang w:val="en-GB"/>
        </w:rPr>
        <w:t xml:space="preserve"> </w:t>
      </w:r>
      <w:r w:rsidRPr="004D2F27">
        <w:rPr>
          <w:lang w:val="en-GB"/>
        </w:rPr>
        <w:t>OBJECTIVE</w:t>
      </w:r>
      <w:r w:rsidRPr="004D2F27">
        <w:rPr>
          <w:spacing w:val="-6"/>
          <w:lang w:val="en-GB"/>
        </w:rPr>
        <w:t xml:space="preserve"> </w:t>
      </w:r>
      <w:r w:rsidRPr="004D2F27">
        <w:rPr>
          <w:lang w:val="en-GB"/>
        </w:rPr>
        <w:t>OF</w:t>
      </w:r>
      <w:r w:rsidRPr="004D2F27">
        <w:rPr>
          <w:spacing w:val="-7"/>
          <w:lang w:val="en-GB"/>
        </w:rPr>
        <w:t xml:space="preserve"> </w:t>
      </w:r>
      <w:r w:rsidRPr="004D2F27">
        <w:rPr>
          <w:lang w:val="en-GB"/>
        </w:rPr>
        <w:t>THE</w:t>
      </w:r>
      <w:r w:rsidRPr="004D2F27">
        <w:rPr>
          <w:spacing w:val="-7"/>
          <w:lang w:val="en-GB"/>
        </w:rPr>
        <w:t xml:space="preserve"> </w:t>
      </w:r>
      <w:r w:rsidRPr="004D2F27">
        <w:rPr>
          <w:lang w:val="en-GB"/>
        </w:rPr>
        <w:t>EUROPEAN</w:t>
      </w:r>
      <w:r w:rsidRPr="004D2F27">
        <w:rPr>
          <w:spacing w:val="-6"/>
          <w:lang w:val="en-GB"/>
        </w:rPr>
        <w:t xml:space="preserve"> </w:t>
      </w:r>
      <w:r w:rsidRPr="004D2F27">
        <w:rPr>
          <w:lang w:val="en-GB"/>
        </w:rPr>
        <w:t>NPM</w:t>
      </w:r>
      <w:r w:rsidRPr="004D2F27">
        <w:rPr>
          <w:spacing w:val="-5"/>
          <w:lang w:val="en-GB"/>
        </w:rPr>
        <w:t xml:space="preserve"> </w:t>
      </w:r>
      <w:r w:rsidRPr="004D2F27">
        <w:rPr>
          <w:spacing w:val="-4"/>
          <w:lang w:val="en-GB"/>
        </w:rPr>
        <w:t>FORUM</w:t>
      </w:r>
    </w:p>
    <w:p w14:paraId="5F21988F" w14:textId="7E9D15AC" w:rsidR="00AC54AD" w:rsidRPr="004D2F27" w:rsidRDefault="00B7354A" w:rsidP="004D2F27">
      <w:pPr>
        <w:pStyle w:val="BodyText"/>
        <w:spacing w:before="120" w:after="120"/>
        <w:ind w:left="23" w:right="23"/>
        <w:jc w:val="both"/>
        <w:rPr>
          <w:lang w:val="en-GB"/>
        </w:rPr>
      </w:pPr>
      <w:r w:rsidRPr="004D2F27">
        <w:rPr>
          <w:lang w:val="en-GB"/>
        </w:rPr>
        <w:t xml:space="preserve">The </w:t>
      </w:r>
      <w:r w:rsidR="000502EE">
        <w:rPr>
          <w:lang w:val="en-GB"/>
        </w:rPr>
        <w:t>jo</w:t>
      </w:r>
      <w:r w:rsidRPr="004D2F27">
        <w:rPr>
          <w:lang w:val="en-GB"/>
        </w:rPr>
        <w:t xml:space="preserve">int </w:t>
      </w:r>
      <w:r w:rsidR="00536E5A" w:rsidRPr="004D2F27">
        <w:rPr>
          <w:lang w:val="en-GB"/>
        </w:rPr>
        <w:t>p</w:t>
      </w:r>
      <w:r w:rsidRPr="004D2F27">
        <w:rPr>
          <w:lang w:val="en-GB"/>
        </w:rPr>
        <w:t xml:space="preserve">roject aims at steadily harmonising standards of detention in all places of </w:t>
      </w:r>
      <w:r w:rsidRPr="004D2F27">
        <w:rPr>
          <w:lang w:val="en-GB"/>
        </w:rPr>
        <w:t>deprivation of liberty,</w:t>
      </w:r>
      <w:r w:rsidRPr="004D2F27">
        <w:rPr>
          <w:spacing w:val="29"/>
          <w:lang w:val="en-GB"/>
        </w:rPr>
        <w:t xml:space="preserve"> </w:t>
      </w:r>
      <w:r w:rsidRPr="004D2F27">
        <w:rPr>
          <w:lang w:val="en-GB"/>
        </w:rPr>
        <w:t>improving</w:t>
      </w:r>
      <w:r w:rsidRPr="004D2F27">
        <w:rPr>
          <w:spacing w:val="28"/>
          <w:lang w:val="en-GB"/>
        </w:rPr>
        <w:t xml:space="preserve"> </w:t>
      </w:r>
      <w:r w:rsidRPr="004D2F27">
        <w:rPr>
          <w:lang w:val="en-GB"/>
        </w:rPr>
        <w:t>the</w:t>
      </w:r>
      <w:r w:rsidRPr="004D2F27">
        <w:rPr>
          <w:spacing w:val="29"/>
          <w:lang w:val="en-GB"/>
        </w:rPr>
        <w:t xml:space="preserve"> </w:t>
      </w:r>
      <w:r w:rsidRPr="004D2F27">
        <w:rPr>
          <w:lang w:val="en-GB"/>
        </w:rPr>
        <w:t>effectiveness</w:t>
      </w:r>
      <w:r w:rsidRPr="004D2F27">
        <w:rPr>
          <w:spacing w:val="27"/>
          <w:lang w:val="en-GB"/>
        </w:rPr>
        <w:t xml:space="preserve"> </w:t>
      </w:r>
      <w:r w:rsidRPr="004D2F27">
        <w:rPr>
          <w:lang w:val="en-GB"/>
        </w:rPr>
        <w:t>of</w:t>
      </w:r>
      <w:r w:rsidRPr="004D2F27">
        <w:rPr>
          <w:spacing w:val="26"/>
          <w:lang w:val="en-GB"/>
        </w:rPr>
        <w:t xml:space="preserve"> </w:t>
      </w:r>
      <w:r w:rsidRPr="004D2F27">
        <w:rPr>
          <w:lang w:val="en-GB"/>
        </w:rPr>
        <w:t>monitoring</w:t>
      </w:r>
      <w:r w:rsidRPr="004D2F27">
        <w:rPr>
          <w:spacing w:val="25"/>
          <w:lang w:val="en-GB"/>
        </w:rPr>
        <w:t xml:space="preserve"> </w:t>
      </w:r>
      <w:r w:rsidRPr="004D2F27">
        <w:rPr>
          <w:lang w:val="en-GB"/>
        </w:rPr>
        <w:t>methodologies</w:t>
      </w:r>
      <w:r w:rsidRPr="004D2F27">
        <w:rPr>
          <w:spacing w:val="28"/>
          <w:lang w:val="en-GB"/>
        </w:rPr>
        <w:t xml:space="preserve"> </w:t>
      </w:r>
      <w:r w:rsidRPr="004D2F27">
        <w:rPr>
          <w:lang w:val="en-GB"/>
        </w:rPr>
        <w:t>and,</w:t>
      </w:r>
      <w:r w:rsidRPr="004D2F27">
        <w:rPr>
          <w:spacing w:val="29"/>
          <w:lang w:val="en-GB"/>
        </w:rPr>
        <w:t xml:space="preserve"> </w:t>
      </w:r>
      <w:r w:rsidRPr="004D2F27">
        <w:rPr>
          <w:lang w:val="en-GB"/>
        </w:rPr>
        <w:t>in</w:t>
      </w:r>
      <w:r w:rsidRPr="004D2F27">
        <w:rPr>
          <w:spacing w:val="27"/>
          <w:lang w:val="en-GB"/>
        </w:rPr>
        <w:t xml:space="preserve"> </w:t>
      </w:r>
      <w:r w:rsidRPr="004D2F27">
        <w:rPr>
          <w:lang w:val="en-GB"/>
        </w:rPr>
        <w:t>the</w:t>
      </w:r>
      <w:r w:rsidRPr="004D2F27">
        <w:rPr>
          <w:spacing w:val="29"/>
          <w:lang w:val="en-GB"/>
        </w:rPr>
        <w:t xml:space="preserve"> </w:t>
      </w:r>
      <w:r w:rsidRPr="004D2F27">
        <w:rPr>
          <w:lang w:val="en-GB"/>
        </w:rPr>
        <w:t>long</w:t>
      </w:r>
      <w:r w:rsidRPr="004D2F27">
        <w:rPr>
          <w:spacing w:val="28"/>
          <w:lang w:val="en-GB"/>
        </w:rPr>
        <w:t xml:space="preserve"> </w:t>
      </w:r>
      <w:r w:rsidRPr="004D2F27">
        <w:rPr>
          <w:lang w:val="en-GB"/>
        </w:rPr>
        <w:t>run,</w:t>
      </w:r>
      <w:r w:rsidRPr="004D2F27">
        <w:rPr>
          <w:spacing w:val="29"/>
          <w:lang w:val="en-GB"/>
        </w:rPr>
        <w:t xml:space="preserve"> </w:t>
      </w:r>
      <w:r w:rsidRPr="004D2F27">
        <w:rPr>
          <w:lang w:val="en-GB"/>
        </w:rPr>
        <w:t>enhancing</w:t>
      </w:r>
    </w:p>
    <w:p w14:paraId="26E6955F" w14:textId="77777777" w:rsidR="00B7354A" w:rsidRPr="004D2F27" w:rsidRDefault="00B7354A" w:rsidP="004D2F27">
      <w:pPr>
        <w:pStyle w:val="BodyText"/>
        <w:spacing w:before="120" w:after="120"/>
        <w:jc w:val="both"/>
        <w:rPr>
          <w:lang w:val="en-GB"/>
        </w:rPr>
        <w:sectPr w:rsidR="00000000" w:rsidRPr="004D2F27">
          <w:type w:val="continuous"/>
          <w:pgSz w:w="11910" w:h="16840"/>
          <w:pgMar w:top="1080" w:right="1417" w:bottom="280" w:left="1417" w:header="720" w:footer="720" w:gutter="0"/>
          <w:cols w:space="720"/>
        </w:sectPr>
      </w:pPr>
    </w:p>
    <w:p w14:paraId="76FD14CE" w14:textId="77777777" w:rsidR="00AC54AD" w:rsidRPr="004D2F27" w:rsidRDefault="00B7354A" w:rsidP="004D2F27">
      <w:pPr>
        <w:pStyle w:val="BodyText"/>
        <w:spacing w:before="120" w:after="120"/>
        <w:ind w:left="23" w:right="19"/>
        <w:jc w:val="both"/>
        <w:rPr>
          <w:lang w:val="en-GB"/>
        </w:rPr>
      </w:pPr>
      <w:r w:rsidRPr="004D2F27">
        <w:rPr>
          <w:lang w:val="en-GB"/>
        </w:rPr>
        <w:t>detention conditions in the region through independent and objective monitoring and combined action at national, regional and international level, including through enhanced judicial cooperation within the European Union (EU).</w:t>
      </w:r>
    </w:p>
    <w:p w14:paraId="661424FC" w14:textId="5EB1DB06" w:rsidR="00AC54AD" w:rsidRPr="004D2F27" w:rsidRDefault="00B7354A" w:rsidP="004D2F27">
      <w:pPr>
        <w:pStyle w:val="BodyText"/>
        <w:spacing w:before="120" w:after="120"/>
        <w:ind w:left="23" w:right="15"/>
        <w:jc w:val="both"/>
        <w:rPr>
          <w:lang w:val="en-GB"/>
        </w:rPr>
      </w:pPr>
      <w:r w:rsidRPr="004D2F27">
        <w:rPr>
          <w:lang w:val="en-GB"/>
        </w:rPr>
        <w:t xml:space="preserve">The main objective of the </w:t>
      </w:r>
      <w:r w:rsidR="00536E5A">
        <w:rPr>
          <w:lang w:val="en-GB"/>
        </w:rPr>
        <w:t>p</w:t>
      </w:r>
      <w:r w:rsidRPr="004D2F27">
        <w:rPr>
          <w:lang w:val="en-GB"/>
        </w:rPr>
        <w:t>roject aims at maintaining and supporting the now well established European</w:t>
      </w:r>
      <w:r w:rsidRPr="004D2F27">
        <w:rPr>
          <w:spacing w:val="-13"/>
          <w:lang w:val="en-GB"/>
        </w:rPr>
        <w:t xml:space="preserve"> </w:t>
      </w:r>
      <w:r w:rsidRPr="004D2F27">
        <w:rPr>
          <w:lang w:val="en-GB"/>
        </w:rPr>
        <w:t>NPM</w:t>
      </w:r>
      <w:r w:rsidRPr="004D2F27">
        <w:rPr>
          <w:spacing w:val="-12"/>
          <w:lang w:val="en-GB"/>
        </w:rPr>
        <w:t xml:space="preserve"> </w:t>
      </w:r>
      <w:r w:rsidRPr="004D2F27">
        <w:rPr>
          <w:lang w:val="en-GB"/>
        </w:rPr>
        <w:t>Forum.</w:t>
      </w:r>
      <w:r w:rsidRPr="004D2F27">
        <w:rPr>
          <w:spacing w:val="-11"/>
          <w:lang w:val="en-GB"/>
        </w:rPr>
        <w:t xml:space="preserve"> </w:t>
      </w:r>
      <w:r w:rsidRPr="004D2F27">
        <w:rPr>
          <w:lang w:val="en-GB"/>
        </w:rPr>
        <w:t>The</w:t>
      </w:r>
      <w:r w:rsidRPr="004D2F27">
        <w:rPr>
          <w:spacing w:val="-13"/>
          <w:lang w:val="en-GB"/>
        </w:rPr>
        <w:t xml:space="preserve"> </w:t>
      </w:r>
      <w:r w:rsidR="00536E5A">
        <w:rPr>
          <w:lang w:val="en-GB"/>
        </w:rPr>
        <w:t>p</w:t>
      </w:r>
      <w:r w:rsidRPr="004D2F27">
        <w:rPr>
          <w:lang w:val="en-GB"/>
        </w:rPr>
        <w:t>roject</w:t>
      </w:r>
      <w:r w:rsidRPr="004D2F27">
        <w:rPr>
          <w:spacing w:val="-12"/>
          <w:lang w:val="en-GB"/>
        </w:rPr>
        <w:t xml:space="preserve"> </w:t>
      </w:r>
      <w:r w:rsidRPr="004D2F27">
        <w:rPr>
          <w:lang w:val="en-GB"/>
        </w:rPr>
        <w:t>will</w:t>
      </w:r>
      <w:r w:rsidRPr="004D2F27">
        <w:rPr>
          <w:spacing w:val="-12"/>
          <w:lang w:val="en-GB"/>
        </w:rPr>
        <w:t xml:space="preserve"> </w:t>
      </w:r>
      <w:r w:rsidRPr="004D2F27">
        <w:rPr>
          <w:lang w:val="en-GB"/>
        </w:rPr>
        <w:t>continue</w:t>
      </w:r>
      <w:r w:rsidRPr="004D2F27">
        <w:rPr>
          <w:spacing w:val="-11"/>
          <w:lang w:val="en-GB"/>
        </w:rPr>
        <w:t xml:space="preserve"> </w:t>
      </w:r>
      <w:r w:rsidRPr="004D2F27">
        <w:rPr>
          <w:lang w:val="en-GB"/>
        </w:rPr>
        <w:t>facilitating</w:t>
      </w:r>
      <w:r w:rsidRPr="004D2F27">
        <w:rPr>
          <w:spacing w:val="-12"/>
          <w:lang w:val="en-GB"/>
        </w:rPr>
        <w:t xml:space="preserve"> </w:t>
      </w:r>
      <w:r w:rsidRPr="004D2F27">
        <w:rPr>
          <w:lang w:val="en-GB"/>
        </w:rPr>
        <w:t>the</w:t>
      </w:r>
      <w:r w:rsidRPr="004D2F27">
        <w:rPr>
          <w:spacing w:val="-11"/>
          <w:lang w:val="en-GB"/>
        </w:rPr>
        <w:t xml:space="preserve"> </w:t>
      </w:r>
      <w:r w:rsidRPr="004D2F27">
        <w:rPr>
          <w:lang w:val="en-GB"/>
        </w:rPr>
        <w:t>regular</w:t>
      </w:r>
      <w:r w:rsidRPr="004D2F27">
        <w:rPr>
          <w:spacing w:val="-13"/>
          <w:lang w:val="en-GB"/>
        </w:rPr>
        <w:t xml:space="preserve"> </w:t>
      </w:r>
      <w:r w:rsidRPr="004D2F27">
        <w:rPr>
          <w:lang w:val="en-GB"/>
        </w:rPr>
        <w:t>exchange</w:t>
      </w:r>
      <w:r w:rsidRPr="004D2F27">
        <w:rPr>
          <w:spacing w:val="-10"/>
          <w:lang w:val="en-GB"/>
        </w:rPr>
        <w:t xml:space="preserve"> </w:t>
      </w:r>
      <w:r w:rsidRPr="004D2F27">
        <w:rPr>
          <w:lang w:val="en-GB"/>
        </w:rPr>
        <w:t>aiming</w:t>
      </w:r>
      <w:r w:rsidRPr="004D2F27">
        <w:rPr>
          <w:spacing w:val="-12"/>
          <w:lang w:val="en-GB"/>
        </w:rPr>
        <w:t xml:space="preserve"> </w:t>
      </w:r>
      <w:r w:rsidRPr="004D2F27">
        <w:rPr>
          <w:lang w:val="en-GB"/>
        </w:rPr>
        <w:t>at</w:t>
      </w:r>
      <w:r w:rsidRPr="004D2F27">
        <w:rPr>
          <w:spacing w:val="-11"/>
          <w:lang w:val="en-GB"/>
        </w:rPr>
        <w:t xml:space="preserve"> </w:t>
      </w:r>
      <w:r w:rsidRPr="004D2F27">
        <w:rPr>
          <w:lang w:val="en-GB"/>
        </w:rPr>
        <w:t>developing NPMs’ capacity and</w:t>
      </w:r>
      <w:r w:rsidRPr="004D2F27">
        <w:rPr>
          <w:spacing w:val="-2"/>
          <w:lang w:val="en-GB"/>
        </w:rPr>
        <w:t xml:space="preserve"> </w:t>
      </w:r>
      <w:r w:rsidRPr="004D2F27">
        <w:rPr>
          <w:lang w:val="en-GB"/>
        </w:rPr>
        <w:t>methodology</w:t>
      </w:r>
      <w:r w:rsidRPr="004D2F27">
        <w:rPr>
          <w:spacing w:val="-1"/>
          <w:lang w:val="en-GB"/>
        </w:rPr>
        <w:t xml:space="preserve"> </w:t>
      </w:r>
      <w:r w:rsidRPr="004D2F27">
        <w:rPr>
          <w:lang w:val="en-GB"/>
        </w:rPr>
        <w:t xml:space="preserve">to carry out their mandates effectively and independently through discussing different matters relating to deprivation of liberty and exchanging best practices, lessons learnt and common challenges. The objective is to contribute to the monitoring by regular objective inspections and gradual improvement of detention conditions (both in the pre- and the post-trial stage) in EU </w:t>
      </w:r>
      <w:r w:rsidR="00536E5A">
        <w:rPr>
          <w:lang w:val="en-GB"/>
        </w:rPr>
        <w:t>m</w:t>
      </w:r>
      <w:r w:rsidRPr="004D2F27">
        <w:rPr>
          <w:lang w:val="en-GB"/>
        </w:rPr>
        <w:t>ember States. This involves reliance on common criteria and methods for monitoring as</w:t>
      </w:r>
      <w:r w:rsidRPr="004D2F27">
        <w:rPr>
          <w:spacing w:val="-1"/>
          <w:lang w:val="en-GB"/>
        </w:rPr>
        <w:t xml:space="preserve"> </w:t>
      </w:r>
      <w:r w:rsidRPr="004D2F27">
        <w:rPr>
          <w:lang w:val="en-GB"/>
        </w:rPr>
        <w:t>well</w:t>
      </w:r>
      <w:r w:rsidRPr="004D2F27">
        <w:rPr>
          <w:spacing w:val="-1"/>
          <w:lang w:val="en-GB"/>
        </w:rPr>
        <w:t xml:space="preserve"> </w:t>
      </w:r>
      <w:r w:rsidRPr="004D2F27">
        <w:rPr>
          <w:lang w:val="en-GB"/>
        </w:rPr>
        <w:t>as</w:t>
      </w:r>
      <w:r w:rsidRPr="004D2F27">
        <w:rPr>
          <w:spacing w:val="-4"/>
          <w:lang w:val="en-GB"/>
        </w:rPr>
        <w:t xml:space="preserve"> </w:t>
      </w:r>
      <w:r w:rsidRPr="004D2F27">
        <w:rPr>
          <w:lang w:val="en-GB"/>
        </w:rPr>
        <w:t>the</w:t>
      </w:r>
      <w:r w:rsidRPr="004D2F27">
        <w:rPr>
          <w:spacing w:val="-3"/>
          <w:lang w:val="en-GB"/>
        </w:rPr>
        <w:t xml:space="preserve"> </w:t>
      </w:r>
      <w:r w:rsidRPr="004D2F27">
        <w:rPr>
          <w:lang w:val="en-GB"/>
        </w:rPr>
        <w:t>development</w:t>
      </w:r>
      <w:r w:rsidRPr="004D2F27">
        <w:rPr>
          <w:spacing w:val="-4"/>
          <w:lang w:val="en-GB"/>
        </w:rPr>
        <w:t xml:space="preserve"> </w:t>
      </w:r>
      <w:r w:rsidRPr="004D2F27">
        <w:rPr>
          <w:lang w:val="en-GB"/>
        </w:rPr>
        <w:t>of</w:t>
      </w:r>
      <w:r w:rsidRPr="004D2F27">
        <w:rPr>
          <w:spacing w:val="-4"/>
          <w:lang w:val="en-GB"/>
        </w:rPr>
        <w:t xml:space="preserve"> </w:t>
      </w:r>
      <w:r w:rsidRPr="004D2F27">
        <w:rPr>
          <w:lang w:val="en-GB"/>
        </w:rPr>
        <w:t>a</w:t>
      </w:r>
      <w:r w:rsidRPr="004D2F27">
        <w:rPr>
          <w:spacing w:val="-3"/>
          <w:lang w:val="en-GB"/>
        </w:rPr>
        <w:t xml:space="preserve"> </w:t>
      </w:r>
      <w:r w:rsidRPr="004D2F27">
        <w:rPr>
          <w:lang w:val="en-GB"/>
        </w:rPr>
        <w:t>common</w:t>
      </w:r>
      <w:r w:rsidRPr="004D2F27">
        <w:rPr>
          <w:spacing w:val="-5"/>
          <w:lang w:val="en-GB"/>
        </w:rPr>
        <w:t xml:space="preserve"> </w:t>
      </w:r>
      <w:r w:rsidRPr="004D2F27">
        <w:rPr>
          <w:lang w:val="en-GB"/>
        </w:rPr>
        <w:t>understanding</w:t>
      </w:r>
      <w:r w:rsidRPr="004D2F27">
        <w:rPr>
          <w:spacing w:val="-2"/>
          <w:lang w:val="en-GB"/>
        </w:rPr>
        <w:t xml:space="preserve"> </w:t>
      </w:r>
      <w:r w:rsidRPr="004D2F27">
        <w:rPr>
          <w:lang w:val="en-GB"/>
        </w:rPr>
        <w:t>of</w:t>
      </w:r>
      <w:r w:rsidRPr="004D2F27">
        <w:rPr>
          <w:spacing w:val="-3"/>
          <w:lang w:val="en-GB"/>
        </w:rPr>
        <w:t xml:space="preserve"> </w:t>
      </w:r>
      <w:r w:rsidRPr="004D2F27">
        <w:rPr>
          <w:lang w:val="en-GB"/>
        </w:rPr>
        <w:t>the</w:t>
      </w:r>
      <w:r w:rsidRPr="004D2F27">
        <w:rPr>
          <w:spacing w:val="-1"/>
          <w:lang w:val="en-GB"/>
        </w:rPr>
        <w:t xml:space="preserve"> </w:t>
      </w:r>
      <w:r w:rsidRPr="004D2F27">
        <w:rPr>
          <w:lang w:val="en-GB"/>
        </w:rPr>
        <w:t>precise</w:t>
      </w:r>
      <w:r w:rsidRPr="004D2F27">
        <w:rPr>
          <w:spacing w:val="-3"/>
          <w:lang w:val="en-GB"/>
        </w:rPr>
        <w:t xml:space="preserve"> </w:t>
      </w:r>
      <w:r w:rsidRPr="004D2F27">
        <w:rPr>
          <w:lang w:val="en-GB"/>
        </w:rPr>
        <w:t>requirements</w:t>
      </w:r>
      <w:r w:rsidRPr="004D2F27">
        <w:rPr>
          <w:spacing w:val="-1"/>
          <w:lang w:val="en-GB"/>
        </w:rPr>
        <w:t xml:space="preserve"> </w:t>
      </w:r>
      <w:r w:rsidRPr="004D2F27">
        <w:rPr>
          <w:lang w:val="en-GB"/>
        </w:rPr>
        <w:t>(standards)</w:t>
      </w:r>
      <w:r w:rsidRPr="004D2F27">
        <w:rPr>
          <w:spacing w:val="-3"/>
          <w:lang w:val="en-GB"/>
        </w:rPr>
        <w:t xml:space="preserve"> </w:t>
      </w:r>
      <w:r w:rsidRPr="004D2F27">
        <w:rPr>
          <w:lang w:val="en-GB"/>
        </w:rPr>
        <w:t>that govern the treatment of detained persons in the EU, the Council of Europe region, and beyond.</w:t>
      </w:r>
    </w:p>
    <w:p w14:paraId="16C01FA9" w14:textId="7430A066" w:rsidR="00AC54AD" w:rsidRPr="004D2F27" w:rsidRDefault="00E67307" w:rsidP="004D2F27">
      <w:pPr>
        <w:pStyle w:val="BodyText"/>
        <w:spacing w:before="120" w:after="120"/>
        <w:jc w:val="both"/>
        <w:rPr>
          <w:lang w:val="en-GB"/>
        </w:rPr>
      </w:pPr>
      <w:r w:rsidRPr="004D2F27">
        <w:rPr>
          <w:lang w:val="en-GB"/>
        </w:rPr>
        <w:t xml:space="preserve">In line with the EU priorities, the </w:t>
      </w:r>
      <w:r w:rsidR="00426166">
        <w:rPr>
          <w:lang w:val="en-GB"/>
        </w:rPr>
        <w:t>p</w:t>
      </w:r>
      <w:r w:rsidRPr="004D2F27">
        <w:rPr>
          <w:lang w:val="en-GB"/>
        </w:rPr>
        <w:t xml:space="preserve">roject </w:t>
      </w:r>
      <w:r w:rsidR="00426166">
        <w:rPr>
          <w:lang w:val="en-GB"/>
        </w:rPr>
        <w:t xml:space="preserve">will continue to provide concrete </w:t>
      </w:r>
      <w:r w:rsidR="00AC6191">
        <w:rPr>
          <w:lang w:val="en-GB"/>
        </w:rPr>
        <w:t>support</w:t>
      </w:r>
      <w:r w:rsidR="00426166">
        <w:rPr>
          <w:lang w:val="en-GB"/>
        </w:rPr>
        <w:t xml:space="preserve"> </w:t>
      </w:r>
      <w:r w:rsidRPr="004D2F27">
        <w:rPr>
          <w:lang w:val="en-GB"/>
        </w:rPr>
        <w:t xml:space="preserve"> to assist</w:t>
      </w:r>
      <w:r w:rsidR="00426166">
        <w:rPr>
          <w:lang w:val="en-GB"/>
        </w:rPr>
        <w:t xml:space="preserve"> </w:t>
      </w:r>
      <w:r w:rsidRPr="004D2F27">
        <w:rPr>
          <w:lang w:val="en-GB"/>
        </w:rPr>
        <w:t>NPMs in effective</w:t>
      </w:r>
      <w:r w:rsidR="000502EE">
        <w:rPr>
          <w:lang w:val="en-GB"/>
        </w:rPr>
        <w:t>ly</w:t>
      </w:r>
      <w:r w:rsidRPr="004D2F27">
        <w:rPr>
          <w:lang w:val="en-GB"/>
        </w:rPr>
        <w:t xml:space="preserve"> monitoring </w:t>
      </w:r>
      <w:r w:rsidR="00426166">
        <w:rPr>
          <w:lang w:val="en-GB"/>
        </w:rPr>
        <w:t xml:space="preserve"> and reporting </w:t>
      </w:r>
      <w:r w:rsidRPr="004D2F27">
        <w:rPr>
          <w:lang w:val="en-GB"/>
        </w:rPr>
        <w:t>o</w:t>
      </w:r>
      <w:r w:rsidR="000502EE">
        <w:rPr>
          <w:lang w:val="en-GB"/>
        </w:rPr>
        <w:t>n the</w:t>
      </w:r>
      <w:r w:rsidRPr="004D2F27">
        <w:rPr>
          <w:lang w:val="en-GB"/>
        </w:rPr>
        <w:t xml:space="preserve"> procedural rights of suspects and accused persons subject to pre-trial detention (PTD)</w:t>
      </w:r>
      <w:r w:rsidR="000502EE">
        <w:rPr>
          <w:lang w:val="en-GB"/>
        </w:rPr>
        <w:t>, as well as</w:t>
      </w:r>
      <w:r w:rsidRPr="004D2F27">
        <w:rPr>
          <w:lang w:val="en-GB"/>
        </w:rPr>
        <w:t xml:space="preserve"> on material detention conditions, as stated in the EU Recommendation adopted on 8 December 2022, laying down minimum standards in an effort to reduce the population in EU detention facilities and tackle the overcrowding problem. </w:t>
      </w:r>
      <w:r w:rsidR="000502EE">
        <w:rPr>
          <w:lang w:val="en-GB"/>
        </w:rPr>
        <w:t>Despite obligations under</w:t>
      </w:r>
      <w:r w:rsidRPr="004D2F27">
        <w:rPr>
          <w:lang w:val="en-GB"/>
        </w:rPr>
        <w:t xml:space="preserve"> Article 5 of the European Convention on Human Rights (ECHR)</w:t>
      </w:r>
      <w:r w:rsidR="000502EE">
        <w:rPr>
          <w:lang w:val="en-GB"/>
        </w:rPr>
        <w:t xml:space="preserve">, </w:t>
      </w:r>
      <w:r w:rsidRPr="004D2F27">
        <w:rPr>
          <w:lang w:val="en-GB"/>
        </w:rPr>
        <w:t xml:space="preserve">significant divergences </w:t>
      </w:r>
      <w:r w:rsidR="000502EE">
        <w:rPr>
          <w:lang w:val="en-GB"/>
        </w:rPr>
        <w:t>persis</w:t>
      </w:r>
      <w:r w:rsidRPr="004D2F27">
        <w:rPr>
          <w:lang w:val="en-GB"/>
        </w:rPr>
        <w:t xml:space="preserve">t among </w:t>
      </w:r>
      <w:r w:rsidR="000502EE">
        <w:rPr>
          <w:lang w:val="en-GB"/>
        </w:rPr>
        <w:t>m</w:t>
      </w:r>
      <w:r w:rsidRPr="004D2F27">
        <w:rPr>
          <w:lang w:val="en-GB"/>
        </w:rPr>
        <w:t>ember States in</w:t>
      </w:r>
      <w:r w:rsidR="000502EE">
        <w:rPr>
          <w:lang w:val="en-GB"/>
        </w:rPr>
        <w:t xml:space="preserve"> the application of PTD, particularly concerning its use as a measure of</w:t>
      </w:r>
      <w:r w:rsidRPr="004D2F27">
        <w:rPr>
          <w:lang w:val="en-GB"/>
        </w:rPr>
        <w:t xml:space="preserve"> last resort and the review of pre-trial decisions.</w:t>
      </w:r>
      <w:r w:rsidR="00B7354A" w:rsidRPr="004D2F27">
        <w:rPr>
          <w:spacing w:val="-9"/>
          <w:lang w:val="en-GB"/>
        </w:rPr>
        <w:t xml:space="preserve"> </w:t>
      </w:r>
      <w:r w:rsidR="00B7354A" w:rsidRPr="004D2F27">
        <w:rPr>
          <w:lang w:val="en-GB"/>
        </w:rPr>
        <w:t>In</w:t>
      </w:r>
      <w:r w:rsidR="00B7354A" w:rsidRPr="004D2F27">
        <w:rPr>
          <w:spacing w:val="-10"/>
          <w:lang w:val="en-GB"/>
        </w:rPr>
        <w:t xml:space="preserve"> </w:t>
      </w:r>
      <w:r w:rsidR="00B7354A" w:rsidRPr="004D2F27">
        <w:rPr>
          <w:lang w:val="en-GB"/>
        </w:rPr>
        <w:t>some</w:t>
      </w:r>
      <w:r w:rsidR="000502EE">
        <w:rPr>
          <w:lang w:val="en-GB"/>
        </w:rPr>
        <w:t xml:space="preserve"> countries</w:t>
      </w:r>
      <w:r w:rsidR="00B7354A" w:rsidRPr="004D2F27">
        <w:rPr>
          <w:lang w:val="en-GB"/>
        </w:rPr>
        <w:t xml:space="preserve">, PTD is treated </w:t>
      </w:r>
      <w:r w:rsidR="000502EE">
        <w:rPr>
          <w:lang w:val="en-GB"/>
        </w:rPr>
        <w:t xml:space="preserve">as routine, rather than </w:t>
      </w:r>
      <w:r w:rsidR="00B7354A" w:rsidRPr="004D2F27">
        <w:rPr>
          <w:lang w:val="en-GB"/>
        </w:rPr>
        <w:t>exceptional</w:t>
      </w:r>
      <w:r w:rsidR="000502EE">
        <w:rPr>
          <w:lang w:val="en-GB"/>
        </w:rPr>
        <w:t>, thereby contributing to</w:t>
      </w:r>
      <w:r w:rsidR="00B7354A" w:rsidRPr="004D2F27">
        <w:rPr>
          <w:lang w:val="en-GB"/>
        </w:rPr>
        <w:t xml:space="preserve"> </w:t>
      </w:r>
      <w:r w:rsidR="00B7354A" w:rsidRPr="004D2F27">
        <w:rPr>
          <w:lang w:val="en-GB"/>
        </w:rPr>
        <w:t>increas</w:t>
      </w:r>
      <w:r w:rsidR="000502EE">
        <w:rPr>
          <w:lang w:val="en-GB"/>
        </w:rPr>
        <w:t xml:space="preserve">ed </w:t>
      </w:r>
      <w:r w:rsidR="00B7354A" w:rsidRPr="004D2F27">
        <w:rPr>
          <w:lang w:val="en-GB"/>
        </w:rPr>
        <w:t>prison density.</w:t>
      </w:r>
    </w:p>
    <w:p w14:paraId="370245F2" w14:textId="3FF08332" w:rsidR="00FF3F6C" w:rsidRPr="004D2F27" w:rsidRDefault="00E67307" w:rsidP="004D2F27">
      <w:pPr>
        <w:pStyle w:val="BodyText"/>
        <w:spacing w:before="120" w:after="120"/>
        <w:ind w:left="23" w:right="19"/>
        <w:jc w:val="both"/>
        <w:rPr>
          <w:lang w:val="en-GB"/>
        </w:rPr>
      </w:pPr>
      <w:r w:rsidRPr="004D2F27">
        <w:rPr>
          <w:lang w:val="en-GB"/>
        </w:rPr>
        <w:t xml:space="preserve">Beyond the topic of PTD, this new phase of the </w:t>
      </w:r>
      <w:r w:rsidR="00536E5A">
        <w:rPr>
          <w:lang w:val="en-GB"/>
        </w:rPr>
        <w:t>p</w:t>
      </w:r>
      <w:r w:rsidRPr="004D2F27">
        <w:rPr>
          <w:lang w:val="en-GB"/>
        </w:rPr>
        <w:t xml:space="preserve">roject </w:t>
      </w:r>
      <w:r w:rsidR="00536E5A">
        <w:rPr>
          <w:lang w:val="en-GB"/>
        </w:rPr>
        <w:t xml:space="preserve">supports efforts to reduce overcrowding and promote alternatives to </w:t>
      </w:r>
      <w:r w:rsidR="00426166">
        <w:rPr>
          <w:lang w:val="en-GB"/>
        </w:rPr>
        <w:t xml:space="preserve">both pre- and post-trial detention. </w:t>
      </w:r>
      <w:r w:rsidRPr="004D2F27">
        <w:rPr>
          <w:lang w:val="en-GB"/>
        </w:rPr>
        <w:t xml:space="preserve">The </w:t>
      </w:r>
      <w:r w:rsidR="000502EE">
        <w:rPr>
          <w:lang w:val="en-GB"/>
        </w:rPr>
        <w:t>project</w:t>
      </w:r>
      <w:r w:rsidRPr="004D2F27">
        <w:rPr>
          <w:lang w:val="en-GB"/>
        </w:rPr>
        <w:t xml:space="preserve"> focuses on the continued operation and further development of the European NPM Forum,</w:t>
      </w:r>
      <w:r w:rsidR="000502EE">
        <w:rPr>
          <w:lang w:val="en-GB"/>
        </w:rPr>
        <w:t xml:space="preserve"> </w:t>
      </w:r>
      <w:r w:rsidRPr="004D2F27">
        <w:rPr>
          <w:lang w:val="en-GB"/>
        </w:rPr>
        <w:t>with the aim of fostering ongoing peer exchange</w:t>
      </w:r>
      <w:r w:rsidR="000502EE">
        <w:rPr>
          <w:lang w:val="en-GB"/>
        </w:rPr>
        <w:t xml:space="preserve">, </w:t>
      </w:r>
      <w:r w:rsidRPr="004D2F27">
        <w:rPr>
          <w:lang w:val="en-GB"/>
        </w:rPr>
        <w:t xml:space="preserve">critical reflection, and </w:t>
      </w:r>
      <w:r w:rsidR="00761D1A">
        <w:rPr>
          <w:lang w:val="en-GB"/>
        </w:rPr>
        <w:t>the</w:t>
      </w:r>
      <w:r w:rsidRPr="004D2F27">
        <w:rPr>
          <w:lang w:val="en-GB"/>
        </w:rPr>
        <w:t xml:space="preserve"> develop</w:t>
      </w:r>
      <w:r w:rsidR="00761D1A">
        <w:rPr>
          <w:lang w:val="en-GB"/>
        </w:rPr>
        <w:t>ment of</w:t>
      </w:r>
      <w:r w:rsidRPr="004D2F27">
        <w:rPr>
          <w:lang w:val="en-GB"/>
        </w:rPr>
        <w:t xml:space="preserve"> common guidance and working methodologies. </w:t>
      </w:r>
      <w:r w:rsidR="00426166">
        <w:rPr>
          <w:lang w:val="en-GB"/>
        </w:rPr>
        <w:t>Dissemination of relevant information and awareness</w:t>
      </w:r>
      <w:r w:rsidR="00761D1A">
        <w:rPr>
          <w:lang w:val="en-GB"/>
        </w:rPr>
        <w:t>-</w:t>
      </w:r>
      <w:r w:rsidR="00426166">
        <w:rPr>
          <w:lang w:val="en-GB"/>
        </w:rPr>
        <w:t>raising will be ensured through country fiches, publication</w:t>
      </w:r>
      <w:r w:rsidR="00761D1A">
        <w:rPr>
          <w:lang w:val="en-GB"/>
        </w:rPr>
        <w:t>s</w:t>
      </w:r>
      <w:r w:rsidR="00426166">
        <w:rPr>
          <w:lang w:val="en-GB"/>
        </w:rPr>
        <w:t xml:space="preserve"> and the </w:t>
      </w:r>
      <w:r w:rsidR="00761D1A">
        <w:rPr>
          <w:lang w:val="en-GB"/>
        </w:rPr>
        <w:t xml:space="preserve">NPMs Forum’s </w:t>
      </w:r>
      <w:r w:rsidR="00426166">
        <w:rPr>
          <w:lang w:val="en-GB"/>
        </w:rPr>
        <w:t xml:space="preserve">digital platform. </w:t>
      </w:r>
      <w:r w:rsidRPr="004D2F27">
        <w:rPr>
          <w:lang w:val="en-GB"/>
        </w:rPr>
        <w:t xml:space="preserve">Targeted support and capacity building for EU NPMs </w:t>
      </w:r>
      <w:r w:rsidR="00761D1A" w:rsidRPr="00527F70">
        <w:rPr>
          <w:lang w:val="en-GB"/>
        </w:rPr>
        <w:t>remains a core component of th</w:t>
      </w:r>
      <w:r w:rsidR="00761D1A">
        <w:rPr>
          <w:lang w:val="en-GB"/>
        </w:rPr>
        <w:t xml:space="preserve">e project, aiming </w:t>
      </w:r>
      <w:r w:rsidRPr="004D2F27">
        <w:rPr>
          <w:lang w:val="en-GB"/>
        </w:rPr>
        <w:t xml:space="preserve">to further strengthen their ability to carry out their mandate effectively and independently, improve working methods and overall impact, and </w:t>
      </w:r>
      <w:r w:rsidR="00761D1A">
        <w:rPr>
          <w:lang w:val="en-GB"/>
        </w:rPr>
        <w:t>facilitate</w:t>
      </w:r>
      <w:r w:rsidRPr="004D2F27">
        <w:rPr>
          <w:lang w:val="en-GB"/>
        </w:rPr>
        <w:t xml:space="preserve"> exchange</w:t>
      </w:r>
      <w:r w:rsidR="00761D1A">
        <w:rPr>
          <w:lang w:val="en-GB"/>
        </w:rPr>
        <w:t xml:space="preserve"> of</w:t>
      </w:r>
      <w:r w:rsidRPr="004D2F27">
        <w:rPr>
          <w:lang w:val="en-GB"/>
        </w:rPr>
        <w:t xml:space="preserve"> experiences and </w:t>
      </w:r>
      <w:r w:rsidR="00761D1A">
        <w:rPr>
          <w:lang w:val="en-GB"/>
        </w:rPr>
        <w:t>promising</w:t>
      </w:r>
      <w:r w:rsidRPr="004D2F27">
        <w:rPr>
          <w:lang w:val="en-GB"/>
        </w:rPr>
        <w:t xml:space="preserve"> practices in detention monitoring</w:t>
      </w:r>
      <w:r w:rsidR="00FF3F6C" w:rsidRPr="004D2F27">
        <w:rPr>
          <w:lang w:val="en-GB"/>
        </w:rPr>
        <w:t xml:space="preserve">.  </w:t>
      </w:r>
    </w:p>
    <w:p w14:paraId="0A9AAB2A" w14:textId="2E3180C2" w:rsidR="00AC54AD" w:rsidRPr="004D2F27" w:rsidRDefault="00AC54AD" w:rsidP="004D2F27">
      <w:pPr>
        <w:pStyle w:val="BodyText"/>
        <w:spacing w:before="120" w:after="120"/>
        <w:ind w:left="23" w:right="19"/>
        <w:jc w:val="both"/>
        <w:rPr>
          <w:lang w:val="en-GB"/>
        </w:rPr>
      </w:pPr>
    </w:p>
    <w:sectPr w:rsidR="00AC54AD" w:rsidRPr="004D2F27">
      <w:pgSz w:w="1191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D43"/>
    <w:multiLevelType w:val="hybridMultilevel"/>
    <w:tmpl w:val="DA7669FC"/>
    <w:lvl w:ilvl="0" w:tplc="552838FA">
      <w:start w:val="1"/>
      <w:numFmt w:val="decimal"/>
      <w:lvlText w:val="%1."/>
      <w:lvlJc w:val="left"/>
      <w:pPr>
        <w:ind w:left="243" w:hanging="221"/>
      </w:pPr>
      <w:rPr>
        <w:rFonts w:ascii="Calibri" w:eastAsia="Calibri" w:hAnsi="Calibri" w:cs="Calibri" w:hint="default"/>
        <w:b/>
        <w:bCs/>
        <w:i w:val="0"/>
        <w:iCs w:val="0"/>
        <w:spacing w:val="0"/>
        <w:w w:val="100"/>
        <w:sz w:val="22"/>
        <w:szCs w:val="22"/>
        <w:lang w:val="en-US" w:eastAsia="en-US" w:bidi="ar-SA"/>
      </w:rPr>
    </w:lvl>
    <w:lvl w:ilvl="1" w:tplc="2EFE408C">
      <w:numFmt w:val="bullet"/>
      <w:lvlText w:val="•"/>
      <w:lvlJc w:val="left"/>
      <w:pPr>
        <w:ind w:left="1123" w:hanging="221"/>
      </w:pPr>
      <w:rPr>
        <w:rFonts w:hint="default"/>
        <w:lang w:val="en-US" w:eastAsia="en-US" w:bidi="ar-SA"/>
      </w:rPr>
    </w:lvl>
    <w:lvl w:ilvl="2" w:tplc="8B62CCE6">
      <w:numFmt w:val="bullet"/>
      <w:lvlText w:val="•"/>
      <w:lvlJc w:val="left"/>
      <w:pPr>
        <w:ind w:left="2006" w:hanging="221"/>
      </w:pPr>
      <w:rPr>
        <w:rFonts w:hint="default"/>
        <w:lang w:val="en-US" w:eastAsia="en-US" w:bidi="ar-SA"/>
      </w:rPr>
    </w:lvl>
    <w:lvl w:ilvl="3" w:tplc="391A00FA">
      <w:numFmt w:val="bullet"/>
      <w:lvlText w:val="•"/>
      <w:lvlJc w:val="left"/>
      <w:pPr>
        <w:ind w:left="2889" w:hanging="221"/>
      </w:pPr>
      <w:rPr>
        <w:rFonts w:hint="default"/>
        <w:lang w:val="en-US" w:eastAsia="en-US" w:bidi="ar-SA"/>
      </w:rPr>
    </w:lvl>
    <w:lvl w:ilvl="4" w:tplc="CF742C5E">
      <w:numFmt w:val="bullet"/>
      <w:lvlText w:val="•"/>
      <w:lvlJc w:val="left"/>
      <w:pPr>
        <w:ind w:left="3772" w:hanging="221"/>
      </w:pPr>
      <w:rPr>
        <w:rFonts w:hint="default"/>
        <w:lang w:val="en-US" w:eastAsia="en-US" w:bidi="ar-SA"/>
      </w:rPr>
    </w:lvl>
    <w:lvl w:ilvl="5" w:tplc="70CE020C">
      <w:numFmt w:val="bullet"/>
      <w:lvlText w:val="•"/>
      <w:lvlJc w:val="left"/>
      <w:pPr>
        <w:ind w:left="4656" w:hanging="221"/>
      </w:pPr>
      <w:rPr>
        <w:rFonts w:hint="default"/>
        <w:lang w:val="en-US" w:eastAsia="en-US" w:bidi="ar-SA"/>
      </w:rPr>
    </w:lvl>
    <w:lvl w:ilvl="6" w:tplc="CD72240E">
      <w:numFmt w:val="bullet"/>
      <w:lvlText w:val="•"/>
      <w:lvlJc w:val="left"/>
      <w:pPr>
        <w:ind w:left="5539" w:hanging="221"/>
      </w:pPr>
      <w:rPr>
        <w:rFonts w:hint="default"/>
        <w:lang w:val="en-US" w:eastAsia="en-US" w:bidi="ar-SA"/>
      </w:rPr>
    </w:lvl>
    <w:lvl w:ilvl="7" w:tplc="8B721B78">
      <w:numFmt w:val="bullet"/>
      <w:lvlText w:val="•"/>
      <w:lvlJc w:val="left"/>
      <w:pPr>
        <w:ind w:left="6422" w:hanging="221"/>
      </w:pPr>
      <w:rPr>
        <w:rFonts w:hint="default"/>
        <w:lang w:val="en-US" w:eastAsia="en-US" w:bidi="ar-SA"/>
      </w:rPr>
    </w:lvl>
    <w:lvl w:ilvl="8" w:tplc="394CAAD8">
      <w:numFmt w:val="bullet"/>
      <w:lvlText w:val="•"/>
      <w:lvlJc w:val="left"/>
      <w:pPr>
        <w:ind w:left="7305" w:hanging="221"/>
      </w:pPr>
      <w:rPr>
        <w:rFonts w:hint="default"/>
        <w:lang w:val="en-US" w:eastAsia="en-US" w:bidi="ar-SA"/>
      </w:rPr>
    </w:lvl>
  </w:abstractNum>
  <w:num w:numId="1" w16cid:durableId="80905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AD"/>
    <w:rsid w:val="000502EE"/>
    <w:rsid w:val="003B18C4"/>
    <w:rsid w:val="00420DFB"/>
    <w:rsid w:val="00426166"/>
    <w:rsid w:val="004422D0"/>
    <w:rsid w:val="00487AF3"/>
    <w:rsid w:val="00497795"/>
    <w:rsid w:val="004D2F27"/>
    <w:rsid w:val="00536E5A"/>
    <w:rsid w:val="00761D1A"/>
    <w:rsid w:val="00771106"/>
    <w:rsid w:val="00801C2A"/>
    <w:rsid w:val="009377E0"/>
    <w:rsid w:val="009A1786"/>
    <w:rsid w:val="00A23252"/>
    <w:rsid w:val="00AC54AD"/>
    <w:rsid w:val="00AC6191"/>
    <w:rsid w:val="00B7354A"/>
    <w:rsid w:val="00C13909"/>
    <w:rsid w:val="00E67307"/>
    <w:rsid w:val="00EA05FB"/>
    <w:rsid w:val="00FF3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50B7"/>
  <w15:docId w15:val="{1B1256BD-087F-45E4-A6E8-FFF87CB9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42" w:hanging="221"/>
    </w:pPr>
  </w:style>
  <w:style w:type="paragraph" w:customStyle="1" w:styleId="TableParagraph">
    <w:name w:val="Table Paragraph"/>
    <w:basedOn w:val="Normal"/>
    <w:uiPriority w:val="1"/>
    <w:qFormat/>
    <w:pPr>
      <w:spacing w:line="268" w:lineRule="exact"/>
      <w:ind w:left="107"/>
    </w:pPr>
  </w:style>
  <w:style w:type="paragraph" w:styleId="Revision">
    <w:name w:val="Revision"/>
    <w:hidden/>
    <w:uiPriority w:val="99"/>
    <w:semiHidden/>
    <w:rsid w:val="00536E5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5820">
      <w:bodyDiv w:val="1"/>
      <w:marLeft w:val="0"/>
      <w:marRight w:val="0"/>
      <w:marTop w:val="0"/>
      <w:marBottom w:val="0"/>
      <w:divBdr>
        <w:top w:val="none" w:sz="0" w:space="0" w:color="auto"/>
        <w:left w:val="none" w:sz="0" w:space="0" w:color="auto"/>
        <w:bottom w:val="none" w:sz="0" w:space="0" w:color="auto"/>
        <w:right w:val="none" w:sz="0" w:space="0" w:color="auto"/>
      </w:divBdr>
    </w:div>
    <w:div w:id="1384252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879</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 Joana</dc:creator>
  <cp:lastModifiedBy>KASHI Joana</cp:lastModifiedBy>
  <cp:revision>2</cp:revision>
  <dcterms:created xsi:type="dcterms:W3CDTF">2025-08-08T11:39:00Z</dcterms:created>
  <dcterms:modified xsi:type="dcterms:W3CDTF">2025-08-08T11:39:00Z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ies>
</file>