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975" w:rsidRPr="008A23EB" w:rsidRDefault="00160975" w:rsidP="00160975">
      <w:pPr>
        <w:spacing w:after="0" w:line="240" w:lineRule="auto"/>
        <w:rPr>
          <w:rFonts w:ascii="Verdana" w:eastAsia="Calibri" w:hAnsi="Verdana" w:cs="Arial"/>
          <w:b/>
          <w:u w:val="single"/>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3"/>
        <w:gridCol w:w="4583"/>
      </w:tblGrid>
      <w:tr w:rsidR="00F41728" w:rsidRPr="00F41728" w:rsidTr="009D46DC">
        <w:tc>
          <w:tcPr>
            <w:tcW w:w="4583" w:type="dxa"/>
          </w:tcPr>
          <w:p w:rsidR="00F41728" w:rsidRDefault="00F41728" w:rsidP="00160975">
            <w:pPr>
              <w:rPr>
                <w:rFonts w:ascii="Verdana" w:eastAsia="Calibri" w:hAnsi="Verdana" w:cs="Arial"/>
                <w:b/>
                <w:u w:val="single"/>
                <w:lang w:val="fr-FR"/>
              </w:rPr>
            </w:pPr>
          </w:p>
          <w:p w:rsidR="00F41728" w:rsidRPr="00F41728" w:rsidRDefault="00F41728" w:rsidP="00160975">
            <w:pPr>
              <w:rPr>
                <w:rFonts w:ascii="Verdana" w:eastAsia="Calibri" w:hAnsi="Verdana" w:cs="Arial"/>
                <w:b/>
                <w:u w:val="single"/>
              </w:rPr>
            </w:pPr>
            <w:r>
              <w:rPr>
                <w:rFonts w:ascii="Verdana" w:eastAsia="Calibri" w:hAnsi="Verdana" w:cs="Arial"/>
                <w:b/>
                <w:noProof/>
                <w:u w:val="single"/>
                <w:lang w:val="fr-FR" w:eastAsia="fr-FR"/>
              </w:rPr>
              <w:drawing>
                <wp:inline distT="0" distB="0" distL="0" distR="0" wp14:anchorId="6A9669B1" wp14:editId="27619853">
                  <wp:extent cx="1800225" cy="790575"/>
                  <wp:effectExtent l="0" t="0" r="9525" b="9525"/>
                  <wp:docPr id="2" name="Picture 2" descr="C:\Users\rodriguez\AppData\Local\Microsoft\Windows\Temporary Internet Files\Content.Outlook\Z3QC1PNY\FRA_RGB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driguez\AppData\Local\Microsoft\Windows\Temporary Internet Files\Content.Outlook\Z3QC1PNY\FRA_RGB_en.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0225" cy="790575"/>
                          </a:xfrm>
                          <a:prstGeom prst="rect">
                            <a:avLst/>
                          </a:prstGeom>
                          <a:noFill/>
                          <a:ln>
                            <a:noFill/>
                          </a:ln>
                        </pic:spPr>
                      </pic:pic>
                    </a:graphicData>
                  </a:graphic>
                </wp:inline>
              </w:drawing>
            </w:r>
          </w:p>
          <w:p w:rsidR="00F41728" w:rsidRPr="00F41728" w:rsidRDefault="00F41728" w:rsidP="00160975">
            <w:pPr>
              <w:rPr>
                <w:rFonts w:ascii="Verdana" w:eastAsia="Calibri" w:hAnsi="Verdana" w:cs="Arial"/>
                <w:b/>
                <w:u w:val="single"/>
              </w:rPr>
            </w:pPr>
          </w:p>
        </w:tc>
        <w:tc>
          <w:tcPr>
            <w:tcW w:w="4583" w:type="dxa"/>
          </w:tcPr>
          <w:p w:rsidR="00F41728" w:rsidRPr="00F41728" w:rsidRDefault="00F41728" w:rsidP="00F41728">
            <w:pPr>
              <w:jc w:val="right"/>
              <w:rPr>
                <w:rFonts w:ascii="Verdana" w:eastAsia="Calibri" w:hAnsi="Verdana" w:cs="Arial"/>
                <w:b/>
                <w:u w:val="single"/>
              </w:rPr>
            </w:pPr>
            <w:r>
              <w:rPr>
                <w:noProof/>
                <w:lang w:val="fr-FR" w:eastAsia="fr-FR"/>
              </w:rPr>
              <w:drawing>
                <wp:inline distT="0" distB="0" distL="0" distR="0" wp14:anchorId="661D66A4" wp14:editId="10F78E27">
                  <wp:extent cx="1333500" cy="1169377"/>
                  <wp:effectExtent l="0" t="0" r="0" b="0"/>
                  <wp:docPr id="3" name="Picture 3" descr="http://www.coe.int/documents/16695/995226/COE-Logo-Quadri.png/ee7b1fc6-055b-490b-a59b-a65969e440a2?t=1371222819000?t=1371222819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e.int/documents/16695/995226/COE-Logo-Quadri.png/ee7b1fc6-055b-490b-a59b-a65969e440a2?t=1371222819000?t=137122281900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33500" cy="1169377"/>
                          </a:xfrm>
                          <a:prstGeom prst="rect">
                            <a:avLst/>
                          </a:prstGeom>
                          <a:noFill/>
                          <a:ln>
                            <a:noFill/>
                          </a:ln>
                        </pic:spPr>
                      </pic:pic>
                    </a:graphicData>
                  </a:graphic>
                </wp:inline>
              </w:drawing>
            </w:r>
          </w:p>
        </w:tc>
      </w:tr>
    </w:tbl>
    <w:p w:rsidR="00160975" w:rsidRPr="00F41728" w:rsidRDefault="00160975" w:rsidP="00160975">
      <w:pPr>
        <w:spacing w:after="0" w:line="240" w:lineRule="auto"/>
        <w:rPr>
          <w:rFonts w:ascii="Verdana" w:eastAsia="Calibri" w:hAnsi="Verdana" w:cs="Arial"/>
          <w:b/>
          <w:u w:val="single"/>
        </w:rPr>
      </w:pPr>
    </w:p>
    <w:p w:rsidR="00F41728" w:rsidRPr="00F41728" w:rsidRDefault="00F41728" w:rsidP="00160975">
      <w:pPr>
        <w:spacing w:after="0" w:line="240" w:lineRule="auto"/>
        <w:rPr>
          <w:rFonts w:ascii="Verdana" w:eastAsia="Calibri" w:hAnsi="Verdana" w:cs="Arial"/>
          <w:b/>
          <w:u w:val="single"/>
        </w:rPr>
      </w:pPr>
    </w:p>
    <w:p w:rsidR="00160975" w:rsidRPr="00F41728" w:rsidRDefault="00160975" w:rsidP="00160975">
      <w:pPr>
        <w:spacing w:after="0" w:line="240" w:lineRule="auto"/>
        <w:jc w:val="both"/>
        <w:rPr>
          <w:rFonts w:ascii="Verdana" w:eastAsia="Times New Roman" w:hAnsi="Verdana" w:cs="Times New Roman"/>
          <w:sz w:val="20"/>
          <w:szCs w:val="20"/>
          <w:lang w:eastAsia="en-GB"/>
        </w:rPr>
      </w:pPr>
    </w:p>
    <w:p w:rsidR="00381181" w:rsidRPr="00381181" w:rsidRDefault="00381181" w:rsidP="00381181">
      <w:pPr>
        <w:spacing w:after="0" w:line="240" w:lineRule="auto"/>
        <w:rPr>
          <w:rFonts w:ascii="Verdana" w:eastAsia="Calibri" w:hAnsi="Verdana" w:cs="Arial"/>
          <w:b/>
          <w:u w:val="single"/>
          <w:lang w:val="fr-FR"/>
        </w:rPr>
      </w:pPr>
      <w:r w:rsidRPr="00381181">
        <w:rPr>
          <w:rFonts w:ascii="Verdana" w:eastAsia="Calibri" w:hAnsi="Verdana" w:cs="Arial"/>
          <w:b/>
          <w:u w:val="single"/>
          <w:lang w:val="fr-FR"/>
        </w:rPr>
        <w:t>Journée de la protection des données 2014</w:t>
      </w:r>
    </w:p>
    <w:p w:rsidR="00381181" w:rsidRPr="00381181" w:rsidRDefault="00381181" w:rsidP="00381181">
      <w:pPr>
        <w:spacing w:after="0" w:line="240" w:lineRule="auto"/>
        <w:jc w:val="both"/>
        <w:rPr>
          <w:rFonts w:ascii="Verdana" w:eastAsia="Calibri" w:hAnsi="Verdana" w:cs="Arial"/>
          <w:b/>
          <w:sz w:val="20"/>
          <w:szCs w:val="20"/>
          <w:lang w:val="fr-FR"/>
        </w:rPr>
      </w:pPr>
    </w:p>
    <w:p w:rsidR="00381181" w:rsidRPr="005915F1" w:rsidRDefault="00381181" w:rsidP="00381181">
      <w:pPr>
        <w:spacing w:after="0" w:line="240" w:lineRule="auto"/>
        <w:jc w:val="both"/>
        <w:rPr>
          <w:rFonts w:ascii="Verdana" w:eastAsia="Calibri" w:hAnsi="Verdana" w:cs="Arial"/>
          <w:b/>
          <w:lang w:val="fr-FR"/>
        </w:rPr>
      </w:pPr>
      <w:r w:rsidRPr="005915F1">
        <w:rPr>
          <w:rFonts w:ascii="Verdana" w:eastAsia="Calibri" w:hAnsi="Verdana" w:cs="Arial"/>
          <w:b/>
          <w:lang w:val="fr-FR"/>
        </w:rPr>
        <w:t>Le Conseil de l’Europe et l’Agence des droits fondamentaux de l’UE publient un manuel sur le droit européen de la protection des données</w:t>
      </w:r>
    </w:p>
    <w:p w:rsidR="00381181" w:rsidRPr="00381181" w:rsidRDefault="00381181" w:rsidP="00381181">
      <w:pPr>
        <w:spacing w:after="0" w:line="240" w:lineRule="auto"/>
        <w:rPr>
          <w:rFonts w:ascii="Verdana" w:eastAsia="Calibri" w:hAnsi="Verdana" w:cs="Arial"/>
          <w:sz w:val="18"/>
          <w:szCs w:val="18"/>
          <w:lang w:val="fr-FR"/>
        </w:rPr>
      </w:pPr>
    </w:p>
    <w:p w:rsidR="00381181" w:rsidRPr="00381181" w:rsidRDefault="00381181" w:rsidP="00381181">
      <w:pPr>
        <w:spacing w:after="0" w:line="240" w:lineRule="auto"/>
        <w:jc w:val="both"/>
        <w:rPr>
          <w:rFonts w:ascii="Verdana" w:eastAsia="Calibri" w:hAnsi="Verdana" w:cs="Times New Roman"/>
          <w:sz w:val="18"/>
          <w:szCs w:val="18"/>
          <w:lang w:val="fr-FR"/>
        </w:rPr>
      </w:pPr>
      <w:r w:rsidRPr="00381181">
        <w:rPr>
          <w:rFonts w:ascii="Verdana" w:eastAsia="Calibri" w:hAnsi="Verdana" w:cs="Arial"/>
          <w:bCs/>
          <w:sz w:val="18"/>
          <w:szCs w:val="18"/>
          <w:lang w:val="fr-FR"/>
        </w:rPr>
        <w:t>Strasbourg, 28.01.2014 –</w:t>
      </w:r>
      <w:r w:rsidRPr="00381181">
        <w:rPr>
          <w:rFonts w:ascii="Verdana" w:eastAsia="Calibri" w:hAnsi="Verdana" w:cs="Arial"/>
          <w:b/>
          <w:sz w:val="18"/>
          <w:szCs w:val="18"/>
          <w:lang w:val="fr-FR"/>
        </w:rPr>
        <w:t xml:space="preserve"> </w:t>
      </w:r>
      <w:r w:rsidRPr="00381181">
        <w:rPr>
          <w:rFonts w:ascii="Verdana" w:eastAsia="Calibri" w:hAnsi="Verdana" w:cs="Arial"/>
          <w:sz w:val="18"/>
          <w:szCs w:val="18"/>
          <w:lang w:val="fr-FR"/>
        </w:rPr>
        <w:t xml:space="preserve">Le Conseil de l’Europe et l’Agence des droits fondamentaux de l’Union européenne </w:t>
      </w:r>
      <w:r w:rsidRPr="00381181">
        <w:rPr>
          <w:rFonts w:ascii="Verdana" w:eastAsia="Calibri" w:hAnsi="Verdana" w:cs="Times New Roman"/>
          <w:sz w:val="18"/>
          <w:szCs w:val="18"/>
          <w:lang w:val="fr-FR"/>
        </w:rPr>
        <w:t>(</w:t>
      </w:r>
      <w:hyperlink r:id="rId7" w:history="1">
        <w:r w:rsidRPr="00381181">
          <w:rPr>
            <w:rFonts w:ascii="Verdana" w:eastAsia="Calibri" w:hAnsi="Verdana" w:cs="Times New Roman"/>
            <w:color w:val="0000FF"/>
            <w:sz w:val="18"/>
            <w:szCs w:val="18"/>
            <w:u w:val="single"/>
            <w:lang w:val="fr-FR"/>
          </w:rPr>
          <w:t>FRA</w:t>
        </w:r>
      </w:hyperlink>
      <w:r w:rsidRPr="00381181">
        <w:rPr>
          <w:rFonts w:ascii="Verdana" w:eastAsia="Calibri" w:hAnsi="Verdana" w:cs="Times New Roman"/>
          <w:sz w:val="18"/>
          <w:szCs w:val="18"/>
          <w:lang w:val="fr-FR"/>
        </w:rPr>
        <w:t xml:space="preserve">) ont </w:t>
      </w:r>
      <w:r w:rsidR="008A23EB">
        <w:rPr>
          <w:rFonts w:ascii="Verdana" w:eastAsia="Calibri" w:hAnsi="Verdana" w:cs="Times New Roman"/>
          <w:sz w:val="18"/>
          <w:szCs w:val="18"/>
          <w:lang w:val="fr-FR"/>
        </w:rPr>
        <w:t xml:space="preserve">publié </w:t>
      </w:r>
      <w:r w:rsidRPr="00381181">
        <w:rPr>
          <w:rFonts w:ascii="Verdana" w:eastAsia="Calibri" w:hAnsi="Verdana" w:cs="Times New Roman"/>
          <w:sz w:val="18"/>
          <w:szCs w:val="18"/>
          <w:lang w:val="fr-FR"/>
        </w:rPr>
        <w:t xml:space="preserve">aujourd’hui, journée européenne de la protection des données, un </w:t>
      </w:r>
      <w:hyperlink r:id="rId8" w:history="1">
        <w:r w:rsidRPr="00127B41">
          <w:rPr>
            <w:rStyle w:val="Hyperlink"/>
            <w:rFonts w:ascii="Verdana" w:eastAsia="Calibri" w:hAnsi="Verdana" w:cs="Times New Roman"/>
            <w:sz w:val="18"/>
            <w:szCs w:val="18"/>
            <w:lang w:val="fr-FR"/>
          </w:rPr>
          <w:t>guide pratique</w:t>
        </w:r>
      </w:hyperlink>
      <w:bookmarkStart w:id="0" w:name="_GoBack"/>
      <w:bookmarkEnd w:id="0"/>
      <w:r w:rsidRPr="00381181">
        <w:rPr>
          <w:rFonts w:ascii="Verdana" w:eastAsia="Calibri" w:hAnsi="Verdana" w:cs="Times New Roman"/>
          <w:sz w:val="18"/>
          <w:szCs w:val="18"/>
          <w:lang w:val="fr-FR"/>
        </w:rPr>
        <w:t xml:space="preserve"> sur le droit européen de la protection des données.</w:t>
      </w:r>
    </w:p>
    <w:p w:rsidR="00381181" w:rsidRPr="00381181" w:rsidRDefault="00381181" w:rsidP="00381181">
      <w:pPr>
        <w:spacing w:after="0" w:line="240" w:lineRule="auto"/>
        <w:rPr>
          <w:rFonts w:ascii="Verdana" w:eastAsia="Calibri" w:hAnsi="Verdana" w:cs="Arial"/>
          <w:sz w:val="18"/>
          <w:szCs w:val="18"/>
          <w:lang w:val="fr-FR"/>
        </w:rPr>
      </w:pPr>
    </w:p>
    <w:p w:rsidR="00381181" w:rsidRPr="00381181" w:rsidRDefault="00381181" w:rsidP="00381181">
      <w:pPr>
        <w:spacing w:after="0" w:line="240" w:lineRule="auto"/>
        <w:jc w:val="both"/>
        <w:rPr>
          <w:rFonts w:ascii="Verdana" w:eastAsia="Times New Roman" w:hAnsi="Verdana" w:cs="Arial"/>
          <w:bCs/>
          <w:color w:val="000000" w:themeColor="text1"/>
          <w:sz w:val="18"/>
          <w:szCs w:val="18"/>
          <w:lang w:val="fr-FR" w:eastAsia="en-GB"/>
        </w:rPr>
      </w:pPr>
      <w:r w:rsidRPr="00381181">
        <w:rPr>
          <w:rFonts w:ascii="Verdana" w:eastAsia="Calibri" w:hAnsi="Verdana" w:cs="Arial"/>
          <w:sz w:val="18"/>
          <w:szCs w:val="18"/>
          <w:lang w:val="fr-FR"/>
        </w:rPr>
        <w:t xml:space="preserve">Le manuel est le premier guide complet sur le droit du Conseil de l’Europe et de l’Union européenne consacré à la protection des données en tenant compte de la jurisprudence de la Cour européenne des droits de l’homme et de la Cour de justice de l’Union européenne. Il explique le régime applicable à la protection des données en droit communautaire et en vertu de la Convention du Conseil de l’Europe </w:t>
      </w:r>
      <w:r w:rsidRPr="00381181">
        <w:rPr>
          <w:rFonts w:ascii="Verdana" w:eastAsia="Times New Roman" w:hAnsi="Verdana" w:cs="Arial"/>
          <w:bCs/>
          <w:color w:val="000000" w:themeColor="text1"/>
          <w:sz w:val="18"/>
          <w:szCs w:val="18"/>
          <w:lang w:val="fr-FR" w:eastAsia="en-GB"/>
        </w:rPr>
        <w:t>pour la protection des personnes à l'égard du traitement automatisé des données à caractère personnel, et d’autres instruments du Conseil de l’Europe.</w:t>
      </w:r>
    </w:p>
    <w:p w:rsidR="00381181" w:rsidRPr="00381181" w:rsidRDefault="00381181" w:rsidP="00381181">
      <w:pPr>
        <w:spacing w:after="0" w:line="240" w:lineRule="auto"/>
        <w:jc w:val="both"/>
        <w:rPr>
          <w:rFonts w:ascii="Verdana" w:eastAsia="Calibri" w:hAnsi="Verdana" w:cs="Times New Roman"/>
          <w:sz w:val="18"/>
          <w:szCs w:val="18"/>
          <w:lang w:val="fr-FR"/>
        </w:rPr>
      </w:pPr>
    </w:p>
    <w:p w:rsidR="00381181" w:rsidRPr="00381181" w:rsidRDefault="00381181" w:rsidP="00381181">
      <w:pPr>
        <w:spacing w:after="0" w:line="240" w:lineRule="auto"/>
        <w:jc w:val="both"/>
        <w:rPr>
          <w:rFonts w:ascii="Verdana" w:eastAsia="Calibri" w:hAnsi="Verdana" w:cs="Arial"/>
          <w:sz w:val="18"/>
          <w:szCs w:val="18"/>
          <w:lang w:val="fr-FR"/>
        </w:rPr>
      </w:pPr>
      <w:r w:rsidRPr="00381181">
        <w:rPr>
          <w:rFonts w:ascii="Verdana" w:eastAsia="Calibri" w:hAnsi="Verdana" w:cs="Arial"/>
          <w:sz w:val="18"/>
          <w:szCs w:val="18"/>
          <w:lang w:val="fr-FR"/>
        </w:rPr>
        <w:t>Il est destiné aux juristes non spécialistes, aux juges, aux administrations nationales chargées de la protection des données et à toute personne pouvant être confrontée à des questions juridiques dans ce domaine. Il porte sur les questions suivantes : terminologie de la protection des données ; grands principes et règles de droit applicables ; droits des personnes et exécution de ces droits ; flux de données transfrontaliers ; et protection des données dans le contexte policier et dans le cadre de la justice pénale.</w:t>
      </w:r>
    </w:p>
    <w:p w:rsidR="00381181" w:rsidRPr="00381181" w:rsidRDefault="00381181" w:rsidP="00381181">
      <w:pPr>
        <w:spacing w:after="0" w:line="240" w:lineRule="auto"/>
        <w:jc w:val="both"/>
        <w:rPr>
          <w:rFonts w:ascii="Verdana" w:eastAsia="Calibri" w:hAnsi="Verdana" w:cs="Times New Roman"/>
          <w:sz w:val="18"/>
          <w:szCs w:val="18"/>
          <w:lang w:val="fr-FR"/>
        </w:rPr>
      </w:pPr>
    </w:p>
    <w:p w:rsidR="00BD1029" w:rsidRPr="009D46DC" w:rsidRDefault="00381181" w:rsidP="009D46DC">
      <w:pPr>
        <w:spacing w:after="0" w:line="240" w:lineRule="auto"/>
        <w:jc w:val="both"/>
        <w:rPr>
          <w:rFonts w:ascii="Verdana" w:hAnsi="Verdana"/>
          <w:noProof/>
          <w:sz w:val="18"/>
          <w:szCs w:val="18"/>
          <w:lang w:val="fr-FR"/>
        </w:rPr>
      </w:pPr>
      <w:r w:rsidRPr="00381181">
        <w:rPr>
          <w:rFonts w:ascii="Verdana" w:eastAsia="Calibri" w:hAnsi="Verdana" w:cs="Arial"/>
          <w:sz w:val="18"/>
          <w:szCs w:val="18"/>
          <w:lang w:val="fr-FR"/>
        </w:rPr>
        <w:t xml:space="preserve">Il est d’abord publié en anglais, mais il sera traduit cette année encore en </w:t>
      </w:r>
      <w:r w:rsidR="009D46DC" w:rsidRPr="00381181">
        <w:rPr>
          <w:rFonts w:ascii="Verdana" w:eastAsia="Calibri" w:hAnsi="Verdana" w:cs="Arial"/>
          <w:sz w:val="18"/>
          <w:szCs w:val="18"/>
          <w:lang w:val="fr-FR"/>
        </w:rPr>
        <w:t>en allemand</w:t>
      </w:r>
      <w:r w:rsidR="009D46DC">
        <w:rPr>
          <w:rFonts w:ascii="Verdana" w:eastAsia="Calibri" w:hAnsi="Verdana" w:cs="Arial"/>
          <w:sz w:val="18"/>
          <w:szCs w:val="18"/>
          <w:lang w:val="fr-FR"/>
        </w:rPr>
        <w:t xml:space="preserve">, </w:t>
      </w:r>
      <w:r w:rsidRPr="00381181">
        <w:rPr>
          <w:rFonts w:ascii="Verdana" w:eastAsia="Calibri" w:hAnsi="Verdana" w:cs="Arial"/>
          <w:sz w:val="18"/>
          <w:szCs w:val="18"/>
          <w:lang w:val="fr-FR"/>
        </w:rPr>
        <w:t>bulgare, en croate,</w:t>
      </w:r>
      <w:r w:rsidR="009D46DC">
        <w:rPr>
          <w:rFonts w:ascii="Verdana" w:eastAsia="Calibri" w:hAnsi="Verdana" w:cs="Arial"/>
          <w:sz w:val="18"/>
          <w:szCs w:val="18"/>
          <w:lang w:val="fr-FR"/>
        </w:rPr>
        <w:t xml:space="preserve"> en danois, </w:t>
      </w:r>
      <w:r w:rsidRPr="00381181">
        <w:rPr>
          <w:rFonts w:ascii="Verdana" w:eastAsia="Calibri" w:hAnsi="Verdana" w:cs="Arial"/>
          <w:sz w:val="18"/>
          <w:szCs w:val="18"/>
          <w:lang w:val="fr-FR"/>
        </w:rPr>
        <w:t xml:space="preserve">en </w:t>
      </w:r>
      <w:r w:rsidR="009D46DC">
        <w:rPr>
          <w:rFonts w:ascii="Verdana" w:eastAsia="Calibri" w:hAnsi="Verdana" w:cs="Arial"/>
          <w:sz w:val="18"/>
          <w:szCs w:val="18"/>
          <w:lang w:val="fr-FR"/>
        </w:rPr>
        <w:t xml:space="preserve">espagnol, en </w:t>
      </w:r>
      <w:r w:rsidRPr="00381181">
        <w:rPr>
          <w:rFonts w:ascii="Verdana" w:eastAsia="Calibri" w:hAnsi="Verdana" w:cs="Arial"/>
          <w:sz w:val="18"/>
          <w:szCs w:val="18"/>
          <w:lang w:val="fr-FR"/>
        </w:rPr>
        <w:t xml:space="preserve">estonien, </w:t>
      </w:r>
      <w:r w:rsidR="00BF6A18">
        <w:rPr>
          <w:rFonts w:ascii="Verdana" w:eastAsia="Calibri" w:hAnsi="Verdana" w:cs="Arial"/>
          <w:sz w:val="18"/>
          <w:szCs w:val="18"/>
          <w:lang w:val="fr-FR"/>
        </w:rPr>
        <w:t xml:space="preserve">en finnois, </w:t>
      </w:r>
      <w:r w:rsidRPr="00381181">
        <w:rPr>
          <w:rFonts w:ascii="Verdana" w:eastAsia="Calibri" w:hAnsi="Verdana" w:cs="Arial"/>
          <w:sz w:val="18"/>
          <w:szCs w:val="18"/>
          <w:lang w:val="fr-FR"/>
        </w:rPr>
        <w:t xml:space="preserve">en français, en grec, en hongrois, en italien, en letton, </w:t>
      </w:r>
      <w:r w:rsidR="00BF6A18" w:rsidRPr="00381181">
        <w:rPr>
          <w:rFonts w:ascii="Verdana" w:eastAsia="Calibri" w:hAnsi="Verdana" w:cs="Arial"/>
          <w:sz w:val="18"/>
          <w:szCs w:val="18"/>
          <w:lang w:val="fr-FR"/>
        </w:rPr>
        <w:t>en lituanien</w:t>
      </w:r>
      <w:r w:rsidR="00BF6A18">
        <w:rPr>
          <w:rFonts w:ascii="Verdana" w:eastAsia="Calibri" w:hAnsi="Verdana" w:cs="Arial"/>
          <w:sz w:val="18"/>
          <w:szCs w:val="18"/>
          <w:lang w:val="fr-FR"/>
        </w:rPr>
        <w:t xml:space="preserve">, </w:t>
      </w:r>
      <w:r w:rsidR="009D46DC">
        <w:rPr>
          <w:rFonts w:ascii="Verdana" w:eastAsia="Calibri" w:hAnsi="Verdana" w:cs="Arial"/>
          <w:sz w:val="18"/>
          <w:szCs w:val="18"/>
          <w:lang w:val="fr-FR"/>
        </w:rPr>
        <w:t>en néerlandais,</w:t>
      </w:r>
      <w:r w:rsidR="009D46DC" w:rsidRPr="00381181">
        <w:rPr>
          <w:rFonts w:ascii="Verdana" w:eastAsia="Calibri" w:hAnsi="Verdana" w:cs="Arial"/>
          <w:sz w:val="18"/>
          <w:szCs w:val="18"/>
          <w:lang w:val="fr-FR"/>
        </w:rPr>
        <w:t xml:space="preserve"> </w:t>
      </w:r>
      <w:r w:rsidRPr="00381181">
        <w:rPr>
          <w:rFonts w:ascii="Verdana" w:eastAsia="Calibri" w:hAnsi="Verdana" w:cs="Arial"/>
          <w:sz w:val="18"/>
          <w:szCs w:val="18"/>
          <w:lang w:val="fr-FR"/>
        </w:rPr>
        <w:t xml:space="preserve">en polonais, </w:t>
      </w:r>
      <w:r w:rsidR="009D46DC">
        <w:rPr>
          <w:rFonts w:ascii="Verdana" w:eastAsia="Calibri" w:hAnsi="Verdana" w:cs="Arial"/>
          <w:sz w:val="18"/>
          <w:szCs w:val="18"/>
          <w:lang w:val="fr-FR"/>
        </w:rPr>
        <w:t xml:space="preserve">en portugais, </w:t>
      </w:r>
      <w:r w:rsidRPr="00381181">
        <w:rPr>
          <w:rFonts w:ascii="Verdana" w:eastAsia="Calibri" w:hAnsi="Verdana" w:cs="Arial"/>
          <w:sz w:val="18"/>
          <w:szCs w:val="18"/>
          <w:lang w:val="fr-FR"/>
        </w:rPr>
        <w:t>en roumain, en slovaque</w:t>
      </w:r>
      <w:r w:rsidR="007B6FD3">
        <w:rPr>
          <w:rFonts w:ascii="Verdana" w:eastAsia="Calibri" w:hAnsi="Verdana" w:cs="Arial"/>
          <w:sz w:val="18"/>
          <w:szCs w:val="18"/>
          <w:lang w:val="fr-FR"/>
        </w:rPr>
        <w:t xml:space="preserve"> et</w:t>
      </w:r>
      <w:r w:rsidRPr="00381181">
        <w:rPr>
          <w:rFonts w:ascii="Verdana" w:eastAsia="Calibri" w:hAnsi="Verdana" w:cs="Arial"/>
          <w:sz w:val="18"/>
          <w:szCs w:val="18"/>
          <w:lang w:val="fr-FR"/>
        </w:rPr>
        <w:t xml:space="preserve"> en slovène.</w:t>
      </w:r>
      <w:r w:rsidR="009D46DC" w:rsidRPr="009D46DC">
        <w:rPr>
          <w:rFonts w:ascii="Verdana" w:eastAsia="Calibri" w:hAnsi="Verdana" w:cs="Arial"/>
          <w:sz w:val="18"/>
          <w:szCs w:val="18"/>
          <w:lang w:val="fr-FR"/>
        </w:rPr>
        <w:t xml:space="preserve"> </w:t>
      </w:r>
    </w:p>
    <w:p w:rsidR="00BD1029" w:rsidRPr="009D46DC" w:rsidRDefault="00BD1029" w:rsidP="00381181">
      <w:pPr>
        <w:spacing w:after="0" w:line="240" w:lineRule="auto"/>
        <w:jc w:val="both"/>
        <w:rPr>
          <w:rFonts w:ascii="Verdana" w:eastAsia="Calibri" w:hAnsi="Verdana" w:cs="Arial"/>
          <w:sz w:val="18"/>
          <w:szCs w:val="18"/>
          <w:lang w:val="fr-FR"/>
        </w:rPr>
      </w:pPr>
    </w:p>
    <w:p w:rsidR="00381181" w:rsidRPr="00381181" w:rsidRDefault="00381181" w:rsidP="00381181">
      <w:pPr>
        <w:spacing w:after="0" w:line="240" w:lineRule="auto"/>
        <w:jc w:val="center"/>
        <w:rPr>
          <w:rFonts w:ascii="Verdana" w:eastAsia="Calibri" w:hAnsi="Verdana" w:cs="Times New Roman"/>
          <w:sz w:val="18"/>
          <w:szCs w:val="18"/>
          <w:lang w:val="fr-FR"/>
        </w:rPr>
      </w:pPr>
      <w:r w:rsidRPr="00381181">
        <w:rPr>
          <w:rFonts w:ascii="Verdana" w:eastAsia="Calibri" w:hAnsi="Verdana" w:cs="Times New Roman"/>
          <w:sz w:val="18"/>
          <w:szCs w:val="18"/>
          <w:lang w:val="fr-FR"/>
        </w:rPr>
        <w:t>***</w:t>
      </w:r>
    </w:p>
    <w:p w:rsidR="00381181" w:rsidRPr="00381181" w:rsidRDefault="00381181" w:rsidP="00381181">
      <w:pPr>
        <w:spacing w:after="0" w:line="240" w:lineRule="auto"/>
        <w:jc w:val="both"/>
        <w:rPr>
          <w:rFonts w:ascii="Verdana" w:eastAsia="Calibri" w:hAnsi="Verdana" w:cs="Times New Roman"/>
          <w:sz w:val="18"/>
          <w:szCs w:val="18"/>
          <w:lang w:val="fr-FR"/>
        </w:rPr>
      </w:pPr>
    </w:p>
    <w:p w:rsidR="00381181" w:rsidRPr="00381181" w:rsidRDefault="00381181" w:rsidP="00381181">
      <w:pPr>
        <w:spacing w:after="0" w:line="240" w:lineRule="auto"/>
        <w:jc w:val="both"/>
        <w:rPr>
          <w:rFonts w:ascii="Verdana" w:eastAsia="Times New Roman" w:hAnsi="Verdana" w:cs="Arial"/>
          <w:bCs/>
          <w:color w:val="000000" w:themeColor="text1"/>
          <w:sz w:val="18"/>
          <w:szCs w:val="18"/>
          <w:lang w:val="fr-FR" w:eastAsia="en-GB"/>
        </w:rPr>
      </w:pPr>
      <w:r w:rsidRPr="00381181">
        <w:rPr>
          <w:rFonts w:ascii="Verdana" w:eastAsia="Calibri" w:hAnsi="Verdana" w:cs="Arial"/>
          <w:sz w:val="18"/>
          <w:szCs w:val="18"/>
          <w:lang w:val="fr-FR"/>
        </w:rPr>
        <w:t xml:space="preserve">La journée de la protection des données est célébrée chaque année le 28 janvier pour marquer l’anniversaire de l’ouverture à la signature de la Convention du </w:t>
      </w:r>
      <w:hyperlink r:id="rId9" w:history="1">
        <w:r w:rsidR="00421CE6" w:rsidRPr="00421CE6">
          <w:rPr>
            <w:rStyle w:val="Hyperlink"/>
            <w:rFonts w:ascii="Verdana" w:eastAsia="Calibri" w:hAnsi="Verdana" w:cs="Arial"/>
            <w:sz w:val="18"/>
            <w:szCs w:val="18"/>
            <w:lang w:val="fr-FR"/>
          </w:rPr>
          <w:t>Conseil de l´Europe</w:t>
        </w:r>
      </w:hyperlink>
      <w:r w:rsidR="00421CE6" w:rsidRPr="00421CE6">
        <w:rPr>
          <w:rFonts w:ascii="Verdana" w:eastAsia="Calibri" w:hAnsi="Verdana" w:cs="Arial"/>
          <w:sz w:val="18"/>
          <w:szCs w:val="18"/>
          <w:lang w:val="fr-FR"/>
        </w:rPr>
        <w:t xml:space="preserve"> </w:t>
      </w:r>
      <w:r w:rsidRPr="00381181">
        <w:rPr>
          <w:rFonts w:ascii="Verdana" w:eastAsia="Times New Roman" w:hAnsi="Verdana" w:cs="Arial"/>
          <w:bCs/>
          <w:color w:val="000000" w:themeColor="text1"/>
          <w:sz w:val="18"/>
          <w:szCs w:val="18"/>
          <w:lang w:val="fr-FR" w:eastAsia="en-GB"/>
        </w:rPr>
        <w:t>pour la protection des personnes à l'égard du traitement automatisé des données à caractère personnel, connue aussi sous le nom de « </w:t>
      </w:r>
      <w:hyperlink r:id="rId10" w:history="1">
        <w:r w:rsidRPr="00381181">
          <w:rPr>
            <w:rFonts w:ascii="Verdana" w:eastAsia="Times New Roman" w:hAnsi="Verdana" w:cs="Arial"/>
            <w:bCs/>
            <w:color w:val="0000FF"/>
            <w:sz w:val="18"/>
            <w:szCs w:val="18"/>
            <w:u w:val="single"/>
            <w:lang w:val="fr-FR" w:eastAsia="en-GB"/>
          </w:rPr>
          <w:t>Convention n° 108 </w:t>
        </w:r>
      </w:hyperlink>
      <w:r w:rsidRPr="00381181">
        <w:rPr>
          <w:rFonts w:ascii="Verdana" w:eastAsia="Times New Roman" w:hAnsi="Verdana" w:cs="Arial"/>
          <w:bCs/>
          <w:color w:val="000000" w:themeColor="text1"/>
          <w:sz w:val="18"/>
          <w:szCs w:val="18"/>
          <w:lang w:val="fr-FR" w:eastAsia="en-GB"/>
        </w:rPr>
        <w:t>». La Convention est en vigueur dans 46 pays. En 2013, l’Uruguay est devenu le premier Etat non européen à la ratifier.</w:t>
      </w:r>
    </w:p>
    <w:p w:rsidR="00381181" w:rsidRPr="00381181" w:rsidRDefault="00381181" w:rsidP="00381181">
      <w:pPr>
        <w:spacing w:after="0" w:line="240" w:lineRule="auto"/>
        <w:jc w:val="both"/>
        <w:rPr>
          <w:rFonts w:ascii="Verdana" w:eastAsia="Calibri" w:hAnsi="Verdana" w:cs="Times New Roman"/>
          <w:sz w:val="18"/>
          <w:szCs w:val="18"/>
          <w:lang w:val="fr-FR"/>
        </w:rPr>
      </w:pPr>
    </w:p>
    <w:p w:rsidR="00381181" w:rsidRPr="00381181" w:rsidRDefault="00381181" w:rsidP="00381181">
      <w:pPr>
        <w:spacing w:after="0" w:line="240" w:lineRule="auto"/>
        <w:jc w:val="both"/>
        <w:rPr>
          <w:rFonts w:ascii="Verdana" w:eastAsia="Calibri" w:hAnsi="Verdana" w:cs="Arial"/>
          <w:sz w:val="18"/>
          <w:szCs w:val="18"/>
          <w:lang w:val="fr-FR"/>
        </w:rPr>
      </w:pPr>
      <w:r w:rsidRPr="00381181">
        <w:rPr>
          <w:rFonts w:ascii="Verdana" w:eastAsia="Calibri" w:hAnsi="Verdana" w:cs="Arial"/>
          <w:sz w:val="18"/>
          <w:szCs w:val="18"/>
          <w:lang w:val="fr-FR"/>
        </w:rPr>
        <w:t>La Convention est le seul instrument international juridiquement contraignant sur la protection des données ayant un champ d’application à l’échelle mondiale. Elle est ouverte à tout pays et pourrait devenir une norme globale. Le traité est en cours d’actualisation pour tenir compte des technologies et pratiques nouvelles.</w:t>
      </w:r>
    </w:p>
    <w:p w:rsidR="003B3C84" w:rsidRPr="00F41728" w:rsidRDefault="003B3C84" w:rsidP="00F41728">
      <w:pPr>
        <w:spacing w:after="0"/>
        <w:rPr>
          <w:rFonts w:ascii="Verdana" w:hAnsi="Verdana"/>
          <w:sz w:val="18"/>
          <w:szCs w:val="18"/>
          <w:lang w:val="fr-FR"/>
        </w:rPr>
      </w:pPr>
    </w:p>
    <w:p w:rsidR="00F41728" w:rsidRPr="00BD1029" w:rsidRDefault="00F41728" w:rsidP="00F41728">
      <w:pPr>
        <w:spacing w:after="0" w:line="240" w:lineRule="auto"/>
        <w:rPr>
          <w:rFonts w:ascii="Verdana" w:hAnsi="Verdana"/>
          <w:bCs/>
          <w:sz w:val="18"/>
          <w:szCs w:val="18"/>
          <w:u w:val="single"/>
          <w:lang w:val="fr-FR"/>
        </w:rPr>
      </w:pPr>
      <w:r w:rsidRPr="00BD1029">
        <w:rPr>
          <w:rFonts w:ascii="Verdana" w:hAnsi="Verdana"/>
          <w:bCs/>
          <w:sz w:val="18"/>
          <w:szCs w:val="18"/>
          <w:u w:val="single"/>
          <w:lang w:val="fr-FR"/>
        </w:rPr>
        <w:t>Contacts</w:t>
      </w:r>
      <w:r w:rsidR="0071533D">
        <w:rPr>
          <w:rFonts w:ascii="Verdana" w:hAnsi="Verdana"/>
          <w:bCs/>
          <w:sz w:val="18"/>
          <w:szCs w:val="18"/>
          <w:u w:val="single"/>
          <w:lang w:val="fr-FR"/>
        </w:rPr>
        <w:t xml:space="preserve"> </w:t>
      </w:r>
      <w:r w:rsidRPr="00BD1029">
        <w:rPr>
          <w:rFonts w:ascii="Verdana" w:hAnsi="Verdana"/>
          <w:bCs/>
          <w:sz w:val="18"/>
          <w:szCs w:val="18"/>
          <w:u w:val="single"/>
          <w:lang w:val="fr-FR"/>
        </w:rPr>
        <w:t xml:space="preserve">: </w:t>
      </w:r>
    </w:p>
    <w:p w:rsidR="00F41728" w:rsidRPr="007B6FD3" w:rsidRDefault="00F41728" w:rsidP="00F41728">
      <w:pPr>
        <w:spacing w:after="0" w:line="240" w:lineRule="auto"/>
        <w:rPr>
          <w:rFonts w:ascii="Verdana" w:hAnsi="Verdana"/>
          <w:sz w:val="18"/>
          <w:szCs w:val="18"/>
          <w:lang w:val="fr-FR"/>
        </w:rPr>
      </w:pPr>
      <w:r w:rsidRPr="00F41728">
        <w:rPr>
          <w:rFonts w:ascii="Verdana" w:hAnsi="Verdana"/>
          <w:sz w:val="18"/>
          <w:szCs w:val="18"/>
          <w:lang w:val="fr-FR"/>
        </w:rPr>
        <w:t>Conseil de l’Europe</w:t>
      </w:r>
      <w:r w:rsidR="0071533D">
        <w:rPr>
          <w:rFonts w:ascii="Verdana" w:hAnsi="Verdana"/>
          <w:sz w:val="18"/>
          <w:szCs w:val="18"/>
          <w:lang w:val="fr-FR"/>
        </w:rPr>
        <w:t xml:space="preserve"> </w:t>
      </w:r>
      <w:r w:rsidRPr="00F41728">
        <w:rPr>
          <w:rFonts w:ascii="Verdana" w:hAnsi="Verdana"/>
          <w:sz w:val="18"/>
          <w:szCs w:val="18"/>
          <w:lang w:val="fr-FR"/>
        </w:rPr>
        <w:t xml:space="preserve">: </w:t>
      </w:r>
      <w:hyperlink r:id="rId11" w:history="1">
        <w:r w:rsidRPr="00F41728">
          <w:rPr>
            <w:rFonts w:ascii="Verdana" w:hAnsi="Verdana"/>
            <w:color w:val="0000FF"/>
            <w:sz w:val="18"/>
            <w:szCs w:val="18"/>
            <w:u w:val="single"/>
            <w:lang w:val="fr-FR"/>
          </w:rPr>
          <w:t>Jaime Rodriguez</w:t>
        </w:r>
      </w:hyperlink>
      <w:r>
        <w:rPr>
          <w:rFonts w:ascii="Verdana" w:hAnsi="Verdana"/>
          <w:sz w:val="18"/>
          <w:szCs w:val="18"/>
          <w:lang w:val="fr-FR"/>
        </w:rPr>
        <w:t>, Attaché aux médias, Té</w:t>
      </w:r>
      <w:r w:rsidRPr="00F41728">
        <w:rPr>
          <w:rFonts w:ascii="Verdana" w:hAnsi="Verdana"/>
          <w:sz w:val="18"/>
          <w:szCs w:val="18"/>
          <w:lang w:val="fr-FR"/>
        </w:rPr>
        <w:t xml:space="preserve">l. </w:t>
      </w:r>
      <w:r w:rsidRPr="007B6FD3">
        <w:rPr>
          <w:rFonts w:ascii="Verdana" w:hAnsi="Verdana"/>
          <w:sz w:val="18"/>
          <w:szCs w:val="18"/>
          <w:lang w:val="fr-FR"/>
        </w:rPr>
        <w:t>+33 3 90 21 47 04</w:t>
      </w:r>
    </w:p>
    <w:p w:rsidR="00BD1029" w:rsidRPr="00BD1029" w:rsidRDefault="00BD1029" w:rsidP="00BD1029">
      <w:pPr>
        <w:pStyle w:val="PlainText"/>
        <w:rPr>
          <w:lang w:val="fr-FR"/>
        </w:rPr>
      </w:pPr>
      <w:r w:rsidRPr="00BD1029">
        <w:rPr>
          <w:rFonts w:ascii="Verdana" w:hAnsi="Verdana"/>
          <w:sz w:val="18"/>
          <w:szCs w:val="18"/>
          <w:lang w:val="fr-FR"/>
        </w:rPr>
        <w:t xml:space="preserve">Agence </w:t>
      </w:r>
      <w:r>
        <w:rPr>
          <w:rFonts w:ascii="Verdana" w:hAnsi="Verdana"/>
          <w:sz w:val="18"/>
          <w:szCs w:val="18"/>
          <w:lang w:val="fr-FR"/>
        </w:rPr>
        <w:t>des</w:t>
      </w:r>
      <w:r w:rsidRPr="00BD1029">
        <w:rPr>
          <w:rFonts w:ascii="Verdana" w:hAnsi="Verdana"/>
          <w:sz w:val="18"/>
          <w:szCs w:val="18"/>
          <w:lang w:val="fr-FR"/>
        </w:rPr>
        <w:t xml:space="preserve"> droits fondamentaux de l</w:t>
      </w:r>
      <w:r>
        <w:rPr>
          <w:rFonts w:ascii="Verdana" w:hAnsi="Verdana"/>
          <w:sz w:val="18"/>
          <w:szCs w:val="18"/>
          <w:lang w:val="fr-FR"/>
        </w:rPr>
        <w:t>´Union européenne</w:t>
      </w:r>
      <w:r w:rsidR="0071533D">
        <w:rPr>
          <w:rFonts w:ascii="Verdana" w:hAnsi="Verdana"/>
          <w:sz w:val="18"/>
          <w:szCs w:val="18"/>
          <w:lang w:val="fr-FR"/>
        </w:rPr>
        <w:t xml:space="preserve"> </w:t>
      </w:r>
      <w:r w:rsidRPr="00BD1029">
        <w:rPr>
          <w:rFonts w:ascii="Verdana" w:hAnsi="Verdana"/>
          <w:sz w:val="20"/>
          <w:szCs w:val="20"/>
          <w:lang w:val="fr-FR"/>
        </w:rPr>
        <w:t>:</w:t>
      </w:r>
      <w:r w:rsidR="0071533D">
        <w:rPr>
          <w:rFonts w:ascii="Verdana" w:hAnsi="Verdana"/>
          <w:sz w:val="20"/>
          <w:szCs w:val="20"/>
          <w:lang w:val="fr-FR"/>
        </w:rPr>
        <w:t xml:space="preserve"> </w:t>
      </w:r>
      <w:hyperlink r:id="rId12" w:history="1">
        <w:r w:rsidRPr="00BD1029">
          <w:rPr>
            <w:rStyle w:val="Hyperlink"/>
            <w:rFonts w:ascii="Verdana" w:hAnsi="Verdana"/>
            <w:sz w:val="20"/>
            <w:szCs w:val="20"/>
            <w:lang w:val="fr-FR"/>
          </w:rPr>
          <w:t>Blanca Tapia</w:t>
        </w:r>
      </w:hyperlink>
      <w:r w:rsidRPr="00BD1029">
        <w:rPr>
          <w:rFonts w:ascii="Verdana" w:hAnsi="Verdana"/>
          <w:sz w:val="20"/>
          <w:szCs w:val="20"/>
          <w:lang w:val="fr-FR"/>
        </w:rPr>
        <w:t>, Porte-parole, Tél. +43 1 580 30 642</w:t>
      </w:r>
    </w:p>
    <w:p w:rsidR="00BD1029" w:rsidRPr="00BD1029" w:rsidRDefault="00BD1029" w:rsidP="00F41728">
      <w:pPr>
        <w:spacing w:after="0" w:line="240" w:lineRule="auto"/>
        <w:rPr>
          <w:rFonts w:ascii="Verdana" w:hAnsi="Verdana"/>
          <w:sz w:val="18"/>
          <w:szCs w:val="18"/>
          <w:lang w:val="fr-FR"/>
        </w:rPr>
      </w:pPr>
    </w:p>
    <w:p w:rsidR="00F41728" w:rsidRPr="00F41728" w:rsidRDefault="00F41728" w:rsidP="00F41728">
      <w:pPr>
        <w:spacing w:after="0"/>
        <w:rPr>
          <w:rFonts w:ascii="Verdana" w:hAnsi="Verdana"/>
          <w:sz w:val="18"/>
          <w:szCs w:val="18"/>
          <w:lang w:val="fr-FR"/>
        </w:rPr>
      </w:pPr>
    </w:p>
    <w:sectPr w:rsidR="00F41728" w:rsidRPr="00F417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975"/>
    <w:rsid w:val="00127B41"/>
    <w:rsid w:val="00160975"/>
    <w:rsid w:val="00381181"/>
    <w:rsid w:val="003B3C84"/>
    <w:rsid w:val="00421CE6"/>
    <w:rsid w:val="005915F1"/>
    <w:rsid w:val="0071533D"/>
    <w:rsid w:val="007B6FD3"/>
    <w:rsid w:val="008A23EB"/>
    <w:rsid w:val="00981AE8"/>
    <w:rsid w:val="009D46DC"/>
    <w:rsid w:val="00BD1029"/>
    <w:rsid w:val="00BF6A18"/>
    <w:rsid w:val="00E57063"/>
    <w:rsid w:val="00F4172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0975"/>
    <w:rPr>
      <w:color w:val="0000FF"/>
      <w:u w:val="single"/>
    </w:rPr>
  </w:style>
  <w:style w:type="paragraph" w:styleId="BalloonText">
    <w:name w:val="Balloon Text"/>
    <w:basedOn w:val="Normal"/>
    <w:link w:val="BalloonTextChar"/>
    <w:uiPriority w:val="99"/>
    <w:semiHidden/>
    <w:unhideWhenUsed/>
    <w:rsid w:val="001609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0975"/>
    <w:rPr>
      <w:rFonts w:ascii="Tahoma" w:hAnsi="Tahoma" w:cs="Tahoma"/>
      <w:sz w:val="16"/>
      <w:szCs w:val="16"/>
    </w:rPr>
  </w:style>
  <w:style w:type="table" w:styleId="TableGrid">
    <w:name w:val="Table Grid"/>
    <w:basedOn w:val="TableNormal"/>
    <w:uiPriority w:val="59"/>
    <w:rsid w:val="00F417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semiHidden/>
    <w:unhideWhenUsed/>
    <w:rsid w:val="00BD1029"/>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BD1029"/>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0975"/>
    <w:rPr>
      <w:color w:val="0000FF"/>
      <w:u w:val="single"/>
    </w:rPr>
  </w:style>
  <w:style w:type="paragraph" w:styleId="BalloonText">
    <w:name w:val="Balloon Text"/>
    <w:basedOn w:val="Normal"/>
    <w:link w:val="BalloonTextChar"/>
    <w:uiPriority w:val="99"/>
    <w:semiHidden/>
    <w:unhideWhenUsed/>
    <w:rsid w:val="001609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0975"/>
    <w:rPr>
      <w:rFonts w:ascii="Tahoma" w:hAnsi="Tahoma" w:cs="Tahoma"/>
      <w:sz w:val="16"/>
      <w:szCs w:val="16"/>
    </w:rPr>
  </w:style>
  <w:style w:type="table" w:styleId="TableGrid">
    <w:name w:val="Table Grid"/>
    <w:basedOn w:val="TableNormal"/>
    <w:uiPriority w:val="59"/>
    <w:rsid w:val="00F417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semiHidden/>
    <w:unhideWhenUsed/>
    <w:rsid w:val="00BD1029"/>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BD1029"/>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515182">
      <w:bodyDiv w:val="1"/>
      <w:marLeft w:val="0"/>
      <w:marRight w:val="0"/>
      <w:marTop w:val="0"/>
      <w:marBottom w:val="0"/>
      <w:divBdr>
        <w:top w:val="none" w:sz="0" w:space="0" w:color="auto"/>
        <w:left w:val="none" w:sz="0" w:space="0" w:color="auto"/>
        <w:bottom w:val="none" w:sz="0" w:space="0" w:color="auto"/>
        <w:right w:val="none" w:sz="0" w:space="0" w:color="auto"/>
      </w:divBdr>
    </w:div>
    <w:div w:id="173985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e.int/t/dghl/standardsetting/dataprotection/TPD_documents/Handbook.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ra.europa.eu/en" TargetMode="External"/><Relationship Id="rId12" Type="http://schemas.openxmlformats.org/officeDocument/2006/relationships/hyperlink" Target="mailto:media@fra.europa.e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mailto:jaime.rodriguez@coe.int" TargetMode="External"/><Relationship Id="rId5" Type="http://schemas.openxmlformats.org/officeDocument/2006/relationships/image" Target="media/image1.jpeg"/><Relationship Id="rId10" Type="http://schemas.openxmlformats.org/officeDocument/2006/relationships/hyperlink" Target="http://www.conventions.coe.int/Treaty/Commun/QueVoulezVous.asp?NT=108&amp;CM=1&amp;DF=&amp;CL=FRE" TargetMode="External"/><Relationship Id="rId4" Type="http://schemas.openxmlformats.org/officeDocument/2006/relationships/webSettings" Target="webSettings.xml"/><Relationship Id="rId9" Type="http://schemas.openxmlformats.org/officeDocument/2006/relationships/hyperlink" Target="http://hub.coe.int/f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491</Words>
  <Characters>2704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Council of Europe</Company>
  <LinksUpToDate>false</LinksUpToDate>
  <CharactersWithSpaces>3189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RODRIGUEZ Jaime</dc:creator>
  <cp:lastModifiedBy>TAILLEZ Catherine</cp:lastModifiedBy>
  <cp:revision>9</cp:revision>
  <cp:lastPrinted>2014-01-27T13:53:00Z</cp:lastPrinted>
  <dcterms:created xsi:type="dcterms:W3CDTF">2014-01-27T11:36:00Z</dcterms:created>
  <dcterms:modified xsi:type="dcterms:W3CDTF">2014-01-27T17:01:00Z</dcterms:modified>
</cp:coreProperties>
</file>