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4583"/>
      </w:tblGrid>
      <w:tr w:rsidR="00177858" w:rsidTr="00E02472">
        <w:tc>
          <w:tcPr>
            <w:tcW w:w="4583" w:type="dxa"/>
          </w:tcPr>
          <w:p w:rsidR="00177858" w:rsidRDefault="00177858" w:rsidP="00160975">
            <w:pPr>
              <w:rPr>
                <w:rFonts w:ascii="Verdana" w:eastAsia="Calibri" w:hAnsi="Verdana" w:cs="Arial"/>
                <w:b/>
                <w:u w:val="single"/>
              </w:rPr>
            </w:pPr>
          </w:p>
          <w:p w:rsidR="00177858" w:rsidRDefault="00177858" w:rsidP="00160975">
            <w:pPr>
              <w:rPr>
                <w:rFonts w:ascii="Verdana" w:eastAsia="Calibri" w:hAnsi="Verdana" w:cs="Arial"/>
                <w:b/>
                <w:u w:val="single"/>
              </w:rPr>
            </w:pPr>
            <w:r>
              <w:rPr>
                <w:rFonts w:ascii="Verdana" w:eastAsia="Calibri" w:hAnsi="Verdana" w:cs="Arial"/>
                <w:b/>
                <w:noProof/>
                <w:u w:val="single"/>
                <w:lang w:val="fr-FR" w:eastAsia="fr-FR"/>
              </w:rPr>
              <w:drawing>
                <wp:inline distT="0" distB="0" distL="0" distR="0" wp14:anchorId="3BDC4402" wp14:editId="0C29D327">
                  <wp:extent cx="1800225" cy="790575"/>
                  <wp:effectExtent l="0" t="0" r="9525" b="9525"/>
                  <wp:docPr id="5" name="Picture 5" descr="C:\Users\rodriguez\AppData\Local\Microsoft\Windows\Temporary Internet Files\Content.Outlook\Z3QC1PNY\FRA_RGB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riguez\AppData\Local\Microsoft\Windows\Temporary Internet Files\Content.Outlook\Z3QC1PNY\FRA_RGB_e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0225" cy="790575"/>
                          </a:xfrm>
                          <a:prstGeom prst="rect">
                            <a:avLst/>
                          </a:prstGeom>
                          <a:noFill/>
                          <a:ln>
                            <a:noFill/>
                          </a:ln>
                        </pic:spPr>
                      </pic:pic>
                    </a:graphicData>
                  </a:graphic>
                </wp:inline>
              </w:drawing>
            </w:r>
          </w:p>
          <w:p w:rsidR="00177858" w:rsidRDefault="00177858" w:rsidP="00160975">
            <w:pPr>
              <w:rPr>
                <w:rFonts w:ascii="Verdana" w:eastAsia="Calibri" w:hAnsi="Verdana" w:cs="Arial"/>
                <w:b/>
                <w:u w:val="single"/>
              </w:rPr>
            </w:pPr>
          </w:p>
        </w:tc>
        <w:tc>
          <w:tcPr>
            <w:tcW w:w="4583" w:type="dxa"/>
          </w:tcPr>
          <w:p w:rsidR="00177858" w:rsidRDefault="00177858" w:rsidP="00177858">
            <w:pPr>
              <w:jc w:val="right"/>
              <w:rPr>
                <w:rFonts w:ascii="Verdana" w:eastAsia="Calibri" w:hAnsi="Verdana" w:cs="Arial"/>
                <w:b/>
                <w:u w:val="single"/>
              </w:rPr>
            </w:pPr>
            <w:r>
              <w:rPr>
                <w:noProof/>
                <w:lang w:val="fr-FR" w:eastAsia="fr-FR"/>
              </w:rPr>
              <w:drawing>
                <wp:inline distT="0" distB="0" distL="0" distR="0" wp14:anchorId="3B962B27" wp14:editId="0B02428D">
                  <wp:extent cx="1333500" cy="1169377"/>
                  <wp:effectExtent l="0" t="0" r="0" b="0"/>
                  <wp:docPr id="3" name="Picture 3" descr="http://www.coe.int/documents/16695/995226/COE-Logo-Quadri.png/ee7b1fc6-055b-490b-a59b-a65969e440a2?t=1371222819000?t=1371222819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e.int/documents/16695/995226/COE-Logo-Quadri.png/ee7b1fc6-055b-490b-a59b-a65969e440a2?t=1371222819000?t=137122281900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3500" cy="1169377"/>
                          </a:xfrm>
                          <a:prstGeom prst="rect">
                            <a:avLst/>
                          </a:prstGeom>
                          <a:noFill/>
                          <a:ln>
                            <a:noFill/>
                          </a:ln>
                        </pic:spPr>
                      </pic:pic>
                    </a:graphicData>
                  </a:graphic>
                </wp:inline>
              </w:drawing>
            </w:r>
          </w:p>
        </w:tc>
      </w:tr>
    </w:tbl>
    <w:p w:rsidR="00177858" w:rsidRDefault="00177858" w:rsidP="00160975">
      <w:pPr>
        <w:spacing w:after="0" w:line="240" w:lineRule="auto"/>
        <w:rPr>
          <w:rFonts w:ascii="Verdana" w:eastAsia="Calibri" w:hAnsi="Verdana" w:cs="Arial"/>
          <w:b/>
          <w:u w:val="single"/>
        </w:rPr>
      </w:pPr>
    </w:p>
    <w:p w:rsidR="00177858" w:rsidRDefault="00177858" w:rsidP="00160975">
      <w:pPr>
        <w:spacing w:after="0" w:line="240" w:lineRule="auto"/>
        <w:rPr>
          <w:rFonts w:ascii="Verdana" w:eastAsia="Calibri" w:hAnsi="Verdana" w:cs="Arial"/>
          <w:b/>
          <w:u w:val="single"/>
        </w:rPr>
      </w:pPr>
    </w:p>
    <w:p w:rsidR="00177858" w:rsidRDefault="00177858" w:rsidP="00160975">
      <w:pPr>
        <w:spacing w:after="0" w:line="240" w:lineRule="auto"/>
        <w:rPr>
          <w:rFonts w:ascii="Verdana" w:eastAsia="Calibri" w:hAnsi="Verdana" w:cs="Arial"/>
          <w:b/>
          <w:u w:val="single"/>
        </w:rPr>
      </w:pPr>
    </w:p>
    <w:p w:rsidR="00160975" w:rsidRDefault="00160975" w:rsidP="00160975">
      <w:pPr>
        <w:spacing w:after="0" w:line="240" w:lineRule="auto"/>
        <w:rPr>
          <w:rFonts w:ascii="Verdana" w:eastAsia="Calibri" w:hAnsi="Verdana" w:cs="Arial"/>
          <w:b/>
          <w:u w:val="single"/>
        </w:rPr>
      </w:pPr>
    </w:p>
    <w:p w:rsidR="00160975" w:rsidRDefault="00160975" w:rsidP="00160975">
      <w:pPr>
        <w:spacing w:after="0" w:line="240" w:lineRule="auto"/>
        <w:rPr>
          <w:rFonts w:ascii="Verdana" w:eastAsia="Calibri" w:hAnsi="Verdana" w:cs="Arial"/>
          <w:b/>
          <w:u w:val="single"/>
        </w:rPr>
      </w:pPr>
      <w:r w:rsidRPr="00160975">
        <w:rPr>
          <w:rFonts w:ascii="Verdana" w:eastAsia="Calibri" w:hAnsi="Verdana" w:cs="Arial"/>
          <w:b/>
          <w:u w:val="single"/>
        </w:rPr>
        <w:t>Data Protection Day 2014</w:t>
      </w:r>
    </w:p>
    <w:p w:rsidR="00160975" w:rsidRPr="00160975" w:rsidRDefault="00160975" w:rsidP="00160975">
      <w:pPr>
        <w:spacing w:after="0" w:line="240" w:lineRule="auto"/>
        <w:rPr>
          <w:rFonts w:ascii="Verdana" w:eastAsia="Calibri" w:hAnsi="Verdana" w:cs="Arial"/>
          <w:b/>
          <w:u w:val="single"/>
        </w:rPr>
      </w:pPr>
    </w:p>
    <w:p w:rsidR="00160975" w:rsidRPr="00160975" w:rsidRDefault="00160975" w:rsidP="00160975">
      <w:pPr>
        <w:spacing w:after="0" w:line="240" w:lineRule="auto"/>
        <w:jc w:val="both"/>
        <w:rPr>
          <w:rFonts w:ascii="Verdana" w:eastAsia="Calibri" w:hAnsi="Verdana" w:cs="Arial"/>
          <w:b/>
        </w:rPr>
      </w:pPr>
      <w:r w:rsidRPr="00160975">
        <w:rPr>
          <w:rFonts w:ascii="Verdana" w:eastAsia="Calibri" w:hAnsi="Verdana" w:cs="Arial"/>
          <w:b/>
        </w:rPr>
        <w:t>Council of Europe and EU Fundamental Rights Agency launch handbook on European data protection law</w:t>
      </w:r>
    </w:p>
    <w:p w:rsidR="00160975" w:rsidRPr="00160975" w:rsidRDefault="00160975" w:rsidP="00160975">
      <w:pPr>
        <w:spacing w:after="0"/>
        <w:jc w:val="both"/>
        <w:rPr>
          <w:rFonts w:ascii="Verdana" w:eastAsia="Calibri" w:hAnsi="Verdana" w:cs="Arial"/>
          <w:b/>
          <w:sz w:val="18"/>
          <w:szCs w:val="18"/>
        </w:rPr>
      </w:pPr>
    </w:p>
    <w:p w:rsidR="00160975" w:rsidRPr="00160975" w:rsidRDefault="00160975" w:rsidP="00160975">
      <w:pPr>
        <w:spacing w:after="0" w:line="240" w:lineRule="auto"/>
        <w:jc w:val="both"/>
        <w:rPr>
          <w:rFonts w:ascii="Verdana" w:eastAsia="Calibri" w:hAnsi="Verdana" w:cs="Times New Roman"/>
          <w:sz w:val="18"/>
          <w:szCs w:val="18"/>
        </w:rPr>
      </w:pPr>
      <w:proofErr w:type="gramStart"/>
      <w:r w:rsidRPr="00160975">
        <w:rPr>
          <w:rFonts w:ascii="Verdana" w:eastAsia="Calibri" w:hAnsi="Verdana" w:cs="Arial"/>
          <w:bCs/>
          <w:sz w:val="18"/>
          <w:szCs w:val="18"/>
        </w:rPr>
        <w:t>Strasbourg,</w:t>
      </w:r>
      <w:r w:rsidR="00737E71">
        <w:rPr>
          <w:rFonts w:ascii="Verdana" w:eastAsia="Calibri" w:hAnsi="Verdana" w:cs="Arial"/>
          <w:bCs/>
          <w:sz w:val="18"/>
          <w:szCs w:val="18"/>
        </w:rPr>
        <w:t xml:space="preserve"> </w:t>
      </w:r>
      <w:r w:rsidRPr="00160975">
        <w:rPr>
          <w:rFonts w:ascii="Verdana" w:eastAsia="Calibri" w:hAnsi="Verdana" w:cs="Arial"/>
          <w:bCs/>
          <w:sz w:val="18"/>
          <w:szCs w:val="18"/>
        </w:rPr>
        <w:t>28.01.2014 -</w:t>
      </w:r>
      <w:r w:rsidRPr="00160975">
        <w:rPr>
          <w:rFonts w:ascii="Verdana" w:eastAsia="Calibri" w:hAnsi="Verdana" w:cs="Arial"/>
          <w:b/>
          <w:sz w:val="18"/>
          <w:szCs w:val="18"/>
        </w:rPr>
        <w:t xml:space="preserve"> </w:t>
      </w:r>
      <w:r w:rsidRPr="00160975">
        <w:rPr>
          <w:rFonts w:ascii="Verdana" w:eastAsia="Calibri" w:hAnsi="Verdana" w:cs="Times New Roman"/>
          <w:sz w:val="18"/>
          <w:szCs w:val="18"/>
        </w:rPr>
        <w:t>The Council of Europe and the European Union Agency for Fundamental Rights (</w:t>
      </w:r>
      <w:hyperlink r:id="rId7" w:history="1">
        <w:r w:rsidR="005D1281">
          <w:rPr>
            <w:rStyle w:val="Hyperlink"/>
            <w:rFonts w:ascii="Verdana" w:eastAsia="Calibri" w:hAnsi="Verdana" w:cs="Times New Roman"/>
            <w:sz w:val="18"/>
            <w:szCs w:val="18"/>
          </w:rPr>
          <w:t>FRA</w:t>
        </w:r>
      </w:hyperlink>
      <w:r w:rsidR="005D1281">
        <w:rPr>
          <w:rFonts w:ascii="Verdana" w:eastAsia="Calibri" w:hAnsi="Verdana" w:cs="Times New Roman"/>
          <w:sz w:val="18"/>
          <w:szCs w:val="18"/>
        </w:rPr>
        <w:t xml:space="preserve">) </w:t>
      </w:r>
      <w:r w:rsidRPr="00160975">
        <w:rPr>
          <w:rFonts w:ascii="Verdana" w:eastAsia="Calibri" w:hAnsi="Verdana" w:cs="Times New Roman"/>
          <w:sz w:val="18"/>
          <w:szCs w:val="18"/>
        </w:rPr>
        <w:t xml:space="preserve">launched today - on Data Protection Day - a </w:t>
      </w:r>
      <w:hyperlink r:id="rId8" w:history="1">
        <w:r w:rsidRPr="00F7253F">
          <w:rPr>
            <w:rStyle w:val="Hyperlink"/>
            <w:rFonts w:ascii="Verdana" w:eastAsia="Calibri" w:hAnsi="Verdana" w:cs="Times New Roman"/>
            <w:sz w:val="18"/>
            <w:szCs w:val="18"/>
          </w:rPr>
          <w:t>practical guide</w:t>
        </w:r>
      </w:hyperlink>
      <w:bookmarkStart w:id="0" w:name="_GoBack"/>
      <w:bookmarkEnd w:id="0"/>
      <w:r w:rsidRPr="00160975">
        <w:rPr>
          <w:rFonts w:ascii="Verdana" w:eastAsia="Calibri" w:hAnsi="Verdana" w:cs="Times New Roman"/>
          <w:sz w:val="18"/>
          <w:szCs w:val="18"/>
        </w:rPr>
        <w:t xml:space="preserve"> to European data protection law.</w:t>
      </w:r>
      <w:proofErr w:type="gramEnd"/>
    </w:p>
    <w:p w:rsidR="00160975" w:rsidRPr="00160975" w:rsidRDefault="00F7253F" w:rsidP="00160975">
      <w:pPr>
        <w:spacing w:after="0" w:line="240" w:lineRule="auto"/>
        <w:jc w:val="both"/>
        <w:rPr>
          <w:rFonts w:ascii="Verdana" w:eastAsia="Calibri" w:hAnsi="Verdana" w:cs="Times New Roman"/>
          <w:sz w:val="18"/>
          <w:szCs w:val="18"/>
        </w:rPr>
      </w:pPr>
      <w:r>
        <w:rPr>
          <w:rFonts w:ascii="Verdana" w:eastAsia="Calibri" w:hAnsi="Verdana" w:cs="Times New Roman"/>
          <w:sz w:val="18"/>
          <w:szCs w:val="18"/>
        </w:rPr>
        <w:t xml:space="preserve">   </w:t>
      </w:r>
    </w:p>
    <w:p w:rsidR="00160975" w:rsidRPr="00160975" w:rsidRDefault="00160975" w:rsidP="00160975">
      <w:pPr>
        <w:spacing w:after="0" w:line="240" w:lineRule="auto"/>
        <w:jc w:val="both"/>
        <w:rPr>
          <w:rFonts w:ascii="Verdana" w:eastAsia="Calibri" w:hAnsi="Verdana" w:cs="Times New Roman"/>
          <w:sz w:val="18"/>
          <w:szCs w:val="18"/>
        </w:rPr>
      </w:pPr>
      <w:r w:rsidRPr="00160975">
        <w:rPr>
          <w:rFonts w:ascii="Verdana" w:eastAsia="Calibri" w:hAnsi="Verdana" w:cs="Times New Roman"/>
          <w:sz w:val="18"/>
          <w:szCs w:val="18"/>
        </w:rPr>
        <w:t xml:space="preserve">The handbook is the first comprehensive guide to Council of Europe and European Union law on data protection, taking into account the case law from the European Court of Human Rights and the Court of Justice of the European Union. It explains how data protection is regulated under EU law as well as the Council of Europe Convention for the Protection of Individuals with regard to Automatic Processing of Personal Data, and other Council of Europe instruments. </w:t>
      </w:r>
    </w:p>
    <w:p w:rsidR="00160975" w:rsidRPr="00160975" w:rsidRDefault="00160975" w:rsidP="00160975">
      <w:pPr>
        <w:spacing w:after="0" w:line="240" w:lineRule="auto"/>
        <w:jc w:val="both"/>
        <w:rPr>
          <w:rFonts w:ascii="Verdana" w:eastAsia="Calibri" w:hAnsi="Verdana" w:cs="Times New Roman"/>
          <w:sz w:val="18"/>
          <w:szCs w:val="18"/>
        </w:rPr>
      </w:pPr>
    </w:p>
    <w:p w:rsidR="00160975" w:rsidRPr="00160975" w:rsidRDefault="00160975" w:rsidP="00160975">
      <w:pPr>
        <w:spacing w:after="0" w:line="240" w:lineRule="auto"/>
        <w:jc w:val="both"/>
        <w:rPr>
          <w:rFonts w:ascii="Verdana" w:eastAsia="Calibri" w:hAnsi="Verdana" w:cs="Times New Roman"/>
          <w:sz w:val="18"/>
          <w:szCs w:val="18"/>
        </w:rPr>
      </w:pPr>
      <w:r w:rsidRPr="00160975">
        <w:rPr>
          <w:rFonts w:ascii="Verdana" w:eastAsia="Calibri" w:hAnsi="Verdana" w:cs="Times New Roman"/>
          <w:sz w:val="18"/>
          <w:szCs w:val="18"/>
        </w:rPr>
        <w:t>The handbook is aimed at non-specialist legal professionals, judges, national data protection authorities and anyone else that may be confronted with legal questions in the area of data protection. It covers issues such as data protection terminology; key principles and the rules of data protection law; data subjects’ rights and their enforcement; transborder data flow; and data protection in the context of police and criminal justice.</w:t>
      </w:r>
    </w:p>
    <w:p w:rsidR="00160975" w:rsidRPr="00160975" w:rsidRDefault="00160975" w:rsidP="00160975">
      <w:pPr>
        <w:spacing w:after="0" w:line="240" w:lineRule="auto"/>
        <w:jc w:val="both"/>
        <w:rPr>
          <w:rFonts w:ascii="Verdana" w:eastAsia="Calibri" w:hAnsi="Verdana" w:cs="Times New Roman"/>
          <w:sz w:val="18"/>
          <w:szCs w:val="18"/>
        </w:rPr>
      </w:pPr>
    </w:p>
    <w:p w:rsidR="00160975" w:rsidRDefault="00160975" w:rsidP="00160975">
      <w:pPr>
        <w:spacing w:after="0" w:line="240" w:lineRule="auto"/>
        <w:jc w:val="both"/>
        <w:rPr>
          <w:rFonts w:ascii="Verdana" w:hAnsi="Verdana"/>
          <w:noProof/>
          <w:sz w:val="18"/>
          <w:szCs w:val="18"/>
        </w:rPr>
      </w:pPr>
      <w:r w:rsidRPr="00160975">
        <w:rPr>
          <w:rFonts w:ascii="Verdana" w:hAnsi="Verdana"/>
          <w:noProof/>
          <w:sz w:val="18"/>
          <w:szCs w:val="18"/>
        </w:rPr>
        <w:t xml:space="preserve">The guide will be launched in English with versions in Bulgarian, Croatian, </w:t>
      </w:r>
      <w:r w:rsidR="00E02472">
        <w:rPr>
          <w:rFonts w:ascii="Verdana" w:hAnsi="Verdana"/>
          <w:noProof/>
          <w:sz w:val="18"/>
          <w:szCs w:val="18"/>
        </w:rPr>
        <w:t>Danish, Dutch, Estonian,</w:t>
      </w:r>
      <w:r w:rsidRPr="00160975">
        <w:rPr>
          <w:rFonts w:ascii="Verdana" w:hAnsi="Verdana"/>
          <w:noProof/>
          <w:sz w:val="18"/>
          <w:szCs w:val="18"/>
        </w:rPr>
        <w:t xml:space="preserve"> </w:t>
      </w:r>
      <w:r w:rsidR="00E02472">
        <w:rPr>
          <w:rFonts w:ascii="Verdana" w:hAnsi="Verdana"/>
          <w:noProof/>
          <w:sz w:val="18"/>
          <w:szCs w:val="18"/>
        </w:rPr>
        <w:t xml:space="preserve">Finnish, </w:t>
      </w:r>
      <w:r w:rsidRPr="00160975">
        <w:rPr>
          <w:rFonts w:ascii="Verdana" w:hAnsi="Verdana"/>
          <w:noProof/>
          <w:sz w:val="18"/>
          <w:szCs w:val="18"/>
        </w:rPr>
        <w:t xml:space="preserve">French, German, Greek, Hungarian, Italian, Latvian, </w:t>
      </w:r>
      <w:r w:rsidR="00EC4146" w:rsidRPr="00160975">
        <w:rPr>
          <w:rFonts w:ascii="Verdana" w:hAnsi="Verdana"/>
          <w:noProof/>
          <w:sz w:val="18"/>
          <w:szCs w:val="18"/>
        </w:rPr>
        <w:t>Lithuanian</w:t>
      </w:r>
      <w:r w:rsidR="00EC4146">
        <w:rPr>
          <w:rFonts w:ascii="Verdana" w:hAnsi="Verdana"/>
          <w:noProof/>
          <w:sz w:val="18"/>
          <w:szCs w:val="18"/>
        </w:rPr>
        <w:t>,</w:t>
      </w:r>
      <w:r w:rsidR="00EC4146" w:rsidRPr="00160975">
        <w:rPr>
          <w:rFonts w:ascii="Verdana" w:hAnsi="Verdana"/>
          <w:noProof/>
          <w:sz w:val="18"/>
          <w:szCs w:val="18"/>
        </w:rPr>
        <w:t xml:space="preserve"> </w:t>
      </w:r>
      <w:r w:rsidRPr="00160975">
        <w:rPr>
          <w:rFonts w:ascii="Verdana" w:hAnsi="Verdana"/>
          <w:noProof/>
          <w:sz w:val="18"/>
          <w:szCs w:val="18"/>
        </w:rPr>
        <w:t>Polish,</w:t>
      </w:r>
      <w:r w:rsidR="00E02472">
        <w:rPr>
          <w:rFonts w:ascii="Verdana" w:hAnsi="Verdana"/>
          <w:noProof/>
          <w:sz w:val="18"/>
          <w:szCs w:val="18"/>
        </w:rPr>
        <w:t xml:space="preserve"> Portuguese,</w:t>
      </w:r>
      <w:r w:rsidRPr="00160975">
        <w:rPr>
          <w:rFonts w:ascii="Verdana" w:hAnsi="Verdana"/>
          <w:noProof/>
          <w:sz w:val="18"/>
          <w:szCs w:val="18"/>
        </w:rPr>
        <w:t xml:space="preserve"> Romanian, Slovak, Slovenian and Spanish to follow later this year.</w:t>
      </w:r>
    </w:p>
    <w:p w:rsidR="00E02472" w:rsidRPr="00160975" w:rsidRDefault="00E02472" w:rsidP="00160975">
      <w:pPr>
        <w:spacing w:after="0" w:line="240" w:lineRule="auto"/>
        <w:jc w:val="both"/>
        <w:rPr>
          <w:rFonts w:ascii="Verdana" w:hAnsi="Verdana"/>
          <w:noProof/>
          <w:sz w:val="18"/>
          <w:szCs w:val="18"/>
        </w:rPr>
      </w:pPr>
    </w:p>
    <w:p w:rsidR="00160975" w:rsidRPr="00160975" w:rsidRDefault="00160975" w:rsidP="00160975">
      <w:pPr>
        <w:spacing w:after="0" w:line="240" w:lineRule="auto"/>
        <w:jc w:val="both"/>
        <w:rPr>
          <w:rFonts w:ascii="Verdana" w:hAnsi="Verdana"/>
          <w:noProof/>
          <w:sz w:val="18"/>
          <w:szCs w:val="18"/>
        </w:rPr>
      </w:pPr>
    </w:p>
    <w:p w:rsidR="00160975" w:rsidRPr="00160975" w:rsidRDefault="00160975" w:rsidP="00160975">
      <w:pPr>
        <w:spacing w:after="0" w:line="240" w:lineRule="auto"/>
        <w:jc w:val="center"/>
        <w:rPr>
          <w:rFonts w:ascii="Verdana" w:eastAsia="Calibri" w:hAnsi="Verdana" w:cs="Times New Roman"/>
          <w:sz w:val="18"/>
          <w:szCs w:val="18"/>
        </w:rPr>
      </w:pPr>
      <w:r w:rsidRPr="00160975">
        <w:rPr>
          <w:rFonts w:ascii="Verdana" w:eastAsia="Calibri" w:hAnsi="Verdana" w:cs="Times New Roman"/>
          <w:sz w:val="18"/>
          <w:szCs w:val="18"/>
        </w:rPr>
        <w:t>***</w:t>
      </w:r>
    </w:p>
    <w:p w:rsidR="00160975" w:rsidRPr="00160975" w:rsidRDefault="00160975" w:rsidP="00160975">
      <w:pPr>
        <w:spacing w:after="0" w:line="240" w:lineRule="auto"/>
        <w:jc w:val="both"/>
        <w:rPr>
          <w:rFonts w:ascii="Verdana" w:hAnsi="Verdana" w:cs="Arial"/>
          <w:sz w:val="20"/>
          <w:szCs w:val="20"/>
          <w:lang w:eastAsia="en-GB"/>
        </w:rPr>
      </w:pPr>
    </w:p>
    <w:p w:rsidR="00160975" w:rsidRPr="00EC4146" w:rsidRDefault="00160975" w:rsidP="00160975">
      <w:pPr>
        <w:spacing w:after="0" w:line="240" w:lineRule="auto"/>
        <w:jc w:val="both"/>
        <w:rPr>
          <w:rFonts w:ascii="Verdana" w:hAnsi="Verdana" w:cs="FuturaStd-Light"/>
          <w:sz w:val="18"/>
          <w:szCs w:val="18"/>
          <w:lang w:eastAsia="en-GB"/>
        </w:rPr>
      </w:pPr>
      <w:r w:rsidRPr="00160975">
        <w:rPr>
          <w:rFonts w:ascii="Verdana" w:hAnsi="Verdana" w:cs="Arial"/>
          <w:sz w:val="18"/>
          <w:szCs w:val="18"/>
          <w:lang w:eastAsia="en-GB"/>
        </w:rPr>
        <w:t xml:space="preserve">Data Protection Day is celebrated every year on 28 January to mark the anniversary of the </w:t>
      </w:r>
      <w:r w:rsidRPr="00EC4146">
        <w:rPr>
          <w:rFonts w:ascii="Verdana" w:hAnsi="Verdana" w:cs="Arial"/>
          <w:sz w:val="18"/>
          <w:szCs w:val="18"/>
          <w:lang w:eastAsia="en-GB"/>
        </w:rPr>
        <w:t xml:space="preserve">opening for signature of the </w:t>
      </w:r>
      <w:hyperlink r:id="rId9" w:history="1">
        <w:r w:rsidR="0083059E">
          <w:rPr>
            <w:rStyle w:val="Hyperlink"/>
            <w:rFonts w:ascii="Verdana" w:hAnsi="Verdana" w:cs="Arial"/>
            <w:sz w:val="18"/>
            <w:szCs w:val="18"/>
            <w:lang w:eastAsia="en-GB"/>
          </w:rPr>
          <w:t>Council of Europe</w:t>
        </w:r>
      </w:hyperlink>
      <w:r w:rsidR="0083059E">
        <w:rPr>
          <w:rFonts w:ascii="Verdana" w:hAnsi="Verdana" w:cs="Arial"/>
          <w:sz w:val="18"/>
          <w:szCs w:val="18"/>
          <w:lang w:eastAsia="en-GB"/>
        </w:rPr>
        <w:t xml:space="preserve">´s </w:t>
      </w:r>
      <w:r w:rsidRPr="00EC4146">
        <w:rPr>
          <w:rFonts w:ascii="Verdana" w:hAnsi="Verdana" w:cs="Arial"/>
          <w:sz w:val="18"/>
          <w:szCs w:val="18"/>
          <w:lang w:eastAsia="en-GB"/>
        </w:rPr>
        <w:t>Convention for the Protection of individuals with regard to automatic processing of personal data, also known as “</w:t>
      </w:r>
      <w:hyperlink r:id="rId10" w:history="1">
        <w:r w:rsidRPr="00EC4146">
          <w:rPr>
            <w:rFonts w:ascii="Verdana" w:hAnsi="Verdana" w:cs="Arial"/>
            <w:color w:val="0000FF"/>
            <w:sz w:val="18"/>
            <w:szCs w:val="18"/>
            <w:u w:val="single"/>
            <w:lang w:eastAsia="en-GB"/>
          </w:rPr>
          <w:t>Convention 108</w:t>
        </w:r>
      </w:hyperlink>
      <w:r w:rsidRPr="00EC4146">
        <w:rPr>
          <w:rFonts w:ascii="Verdana" w:hAnsi="Verdana" w:cs="Arial"/>
          <w:sz w:val="18"/>
          <w:szCs w:val="18"/>
          <w:lang w:eastAsia="en-GB"/>
        </w:rPr>
        <w:t>”. The convention is in force in 46 states. In 2013 Uruguay became the first non-European country to ratify it.</w:t>
      </w:r>
      <w:r w:rsidRPr="00EC4146">
        <w:rPr>
          <w:rFonts w:ascii="Verdana" w:hAnsi="Verdana" w:cs="FuturaStd-Light"/>
          <w:sz w:val="18"/>
          <w:szCs w:val="18"/>
          <w:lang w:eastAsia="en-GB"/>
        </w:rPr>
        <w:t xml:space="preserve"> </w:t>
      </w:r>
    </w:p>
    <w:p w:rsidR="00160975" w:rsidRPr="00EC4146" w:rsidRDefault="00160975" w:rsidP="00160975">
      <w:pPr>
        <w:spacing w:after="0" w:line="240" w:lineRule="auto"/>
        <w:jc w:val="both"/>
        <w:rPr>
          <w:rFonts w:ascii="Verdana" w:hAnsi="Verdana" w:cs="FuturaStd-Light"/>
          <w:sz w:val="18"/>
          <w:szCs w:val="18"/>
          <w:lang w:eastAsia="en-GB"/>
        </w:rPr>
      </w:pPr>
    </w:p>
    <w:p w:rsidR="00160975" w:rsidRPr="00EC4146" w:rsidRDefault="00160975" w:rsidP="00160975">
      <w:pPr>
        <w:spacing w:after="0" w:line="240" w:lineRule="auto"/>
        <w:jc w:val="both"/>
        <w:rPr>
          <w:rFonts w:ascii="Verdana" w:eastAsia="Times New Roman" w:hAnsi="Verdana" w:cs="FuturaStd-Light"/>
          <w:color w:val="003587"/>
          <w:sz w:val="18"/>
          <w:szCs w:val="18"/>
          <w:lang w:val="en-US" w:eastAsia="en-GB"/>
        </w:rPr>
      </w:pPr>
      <w:r w:rsidRPr="00EC4146">
        <w:rPr>
          <w:rFonts w:ascii="Verdana" w:hAnsi="Verdana" w:cs="FuturaStd-Light"/>
          <w:sz w:val="18"/>
          <w:szCs w:val="18"/>
          <w:lang w:eastAsia="en-GB"/>
        </w:rPr>
        <w:t>The Convention is</w:t>
      </w:r>
      <w:r w:rsidRPr="00EC4146">
        <w:rPr>
          <w:rFonts w:ascii="Verdana" w:eastAsia="Times New Roman" w:hAnsi="Verdana" w:cs="FuturaStd-Light"/>
          <w:sz w:val="18"/>
          <w:szCs w:val="18"/>
          <w:lang w:val="en-US" w:eastAsia="en-GB"/>
        </w:rPr>
        <w:t xml:space="preserve"> the only data protection legally binding international instrument with a worldwide scope of application, open to any country, and with the potential to become a global standard. </w:t>
      </w:r>
      <w:r w:rsidRPr="00EC4146">
        <w:rPr>
          <w:rFonts w:ascii="Verdana" w:hAnsi="Verdana" w:cs="Arial"/>
          <w:sz w:val="18"/>
          <w:szCs w:val="18"/>
          <w:lang w:eastAsia="en-GB"/>
        </w:rPr>
        <w:t>The treaty is currently being updated to adapt it to new technologies and practice</w:t>
      </w:r>
      <w:r w:rsidRPr="00EC4146">
        <w:rPr>
          <w:rFonts w:ascii="Verdana" w:hAnsi="Verdana" w:cs="FuturaStd-Light"/>
          <w:color w:val="003587"/>
          <w:sz w:val="18"/>
          <w:szCs w:val="18"/>
          <w:lang w:eastAsia="en-GB"/>
        </w:rPr>
        <w:t xml:space="preserve">. </w:t>
      </w:r>
    </w:p>
    <w:p w:rsidR="00160975" w:rsidRPr="00EC4146" w:rsidRDefault="00160975" w:rsidP="00160975">
      <w:pPr>
        <w:spacing w:after="0" w:line="240" w:lineRule="auto"/>
        <w:jc w:val="both"/>
        <w:rPr>
          <w:rFonts w:ascii="Verdana" w:eastAsia="Times New Roman" w:hAnsi="Verdana" w:cs="Times New Roman"/>
          <w:sz w:val="20"/>
          <w:szCs w:val="20"/>
          <w:lang w:val="en-US" w:eastAsia="en-GB"/>
        </w:rPr>
      </w:pPr>
    </w:p>
    <w:p w:rsidR="00A159A7" w:rsidRPr="00EC4146" w:rsidRDefault="00A159A7" w:rsidP="00177858">
      <w:pPr>
        <w:spacing w:after="0" w:line="240" w:lineRule="auto"/>
        <w:rPr>
          <w:rFonts w:ascii="Verdana" w:hAnsi="Verdana"/>
          <w:sz w:val="18"/>
          <w:szCs w:val="18"/>
        </w:rPr>
      </w:pPr>
      <w:r w:rsidRPr="00EC4146">
        <w:rPr>
          <w:rFonts w:ascii="Verdana" w:hAnsi="Verdana"/>
          <w:sz w:val="18"/>
          <w:szCs w:val="18"/>
          <w:u w:val="single"/>
        </w:rPr>
        <w:t>Contacts</w:t>
      </w:r>
      <w:r w:rsidRPr="00EC4146">
        <w:rPr>
          <w:rFonts w:ascii="Verdana" w:hAnsi="Verdana"/>
          <w:sz w:val="18"/>
          <w:szCs w:val="18"/>
        </w:rPr>
        <w:t xml:space="preserve">: </w:t>
      </w:r>
    </w:p>
    <w:p w:rsidR="00A159A7" w:rsidRPr="00EC4146" w:rsidRDefault="00A159A7" w:rsidP="00177858">
      <w:pPr>
        <w:spacing w:after="0" w:line="240" w:lineRule="auto"/>
        <w:rPr>
          <w:rFonts w:ascii="Verdana" w:hAnsi="Verdana"/>
          <w:sz w:val="18"/>
          <w:szCs w:val="18"/>
        </w:rPr>
      </w:pPr>
      <w:r w:rsidRPr="00EC4146">
        <w:rPr>
          <w:rFonts w:ascii="Verdana" w:hAnsi="Verdana"/>
          <w:sz w:val="18"/>
          <w:szCs w:val="18"/>
        </w:rPr>
        <w:t xml:space="preserve">Council of Europe: </w:t>
      </w:r>
      <w:hyperlink r:id="rId11" w:history="1">
        <w:r w:rsidRPr="00EC4146">
          <w:rPr>
            <w:rStyle w:val="Hyperlink"/>
            <w:rFonts w:ascii="Verdana" w:hAnsi="Verdana"/>
            <w:sz w:val="18"/>
            <w:szCs w:val="18"/>
          </w:rPr>
          <w:t>Jaime Rodriguez</w:t>
        </w:r>
      </w:hyperlink>
      <w:r w:rsidRPr="00EC4146">
        <w:rPr>
          <w:rFonts w:ascii="Verdana" w:hAnsi="Verdana"/>
          <w:sz w:val="18"/>
          <w:szCs w:val="18"/>
        </w:rPr>
        <w:t>, Media officer, Tel. +33 3 90 21 47 04</w:t>
      </w:r>
    </w:p>
    <w:p w:rsidR="00E02472" w:rsidRPr="00EC4146" w:rsidRDefault="00E02472" w:rsidP="00E02472">
      <w:pPr>
        <w:pStyle w:val="PlainText"/>
        <w:rPr>
          <w:rFonts w:ascii="Verdana" w:hAnsi="Verdana"/>
          <w:sz w:val="18"/>
          <w:szCs w:val="18"/>
          <w:lang w:val="en-IE"/>
        </w:rPr>
      </w:pPr>
      <w:r w:rsidRPr="00EC4146">
        <w:rPr>
          <w:rFonts w:ascii="Verdana" w:hAnsi="Verdana"/>
          <w:sz w:val="18"/>
          <w:szCs w:val="18"/>
          <w:lang w:val="en-IE"/>
        </w:rPr>
        <w:t>European Union Agency for Fundamental Rights</w:t>
      </w:r>
      <w:r w:rsidRPr="00EC4146">
        <w:rPr>
          <w:rFonts w:ascii="Verdana" w:hAnsi="Verdana"/>
          <w:sz w:val="18"/>
          <w:szCs w:val="18"/>
        </w:rPr>
        <w:t xml:space="preserve">: </w:t>
      </w:r>
      <w:hyperlink r:id="rId12" w:history="1">
        <w:r w:rsidRPr="00EC4146">
          <w:rPr>
            <w:rStyle w:val="Hyperlink"/>
            <w:rFonts w:ascii="Verdana" w:hAnsi="Verdana"/>
            <w:sz w:val="18"/>
            <w:szCs w:val="18"/>
          </w:rPr>
          <w:t>Blanca Tapia</w:t>
        </w:r>
      </w:hyperlink>
      <w:r w:rsidRPr="00EC4146">
        <w:rPr>
          <w:rFonts w:ascii="Verdana" w:hAnsi="Verdana"/>
          <w:sz w:val="18"/>
          <w:szCs w:val="18"/>
        </w:rPr>
        <w:t>, Spokesperson, Tel. +43 1 580 30 642</w:t>
      </w:r>
    </w:p>
    <w:p w:rsidR="00A159A7" w:rsidRPr="00E02472" w:rsidRDefault="00A159A7"/>
    <w:sectPr w:rsidR="00A159A7" w:rsidRPr="00E024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Std-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975"/>
    <w:rsid w:val="00160975"/>
    <w:rsid w:val="00177858"/>
    <w:rsid w:val="00220F5B"/>
    <w:rsid w:val="003B3C84"/>
    <w:rsid w:val="004B435B"/>
    <w:rsid w:val="005D1281"/>
    <w:rsid w:val="00737E71"/>
    <w:rsid w:val="0083059E"/>
    <w:rsid w:val="00846D24"/>
    <w:rsid w:val="00873339"/>
    <w:rsid w:val="00A159A7"/>
    <w:rsid w:val="00C566A0"/>
    <w:rsid w:val="00DD0F7A"/>
    <w:rsid w:val="00E02472"/>
    <w:rsid w:val="00E57063"/>
    <w:rsid w:val="00EC4146"/>
    <w:rsid w:val="00F7253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0975"/>
    <w:rPr>
      <w:color w:val="0000FF"/>
      <w:u w:val="single"/>
    </w:rPr>
  </w:style>
  <w:style w:type="paragraph" w:styleId="BalloonText">
    <w:name w:val="Balloon Text"/>
    <w:basedOn w:val="Normal"/>
    <w:link w:val="BalloonTextChar"/>
    <w:uiPriority w:val="99"/>
    <w:semiHidden/>
    <w:unhideWhenUsed/>
    <w:rsid w:val="001609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975"/>
    <w:rPr>
      <w:rFonts w:ascii="Tahoma" w:hAnsi="Tahoma" w:cs="Tahoma"/>
      <w:sz w:val="16"/>
      <w:szCs w:val="16"/>
    </w:rPr>
  </w:style>
  <w:style w:type="table" w:styleId="TableGrid">
    <w:name w:val="Table Grid"/>
    <w:basedOn w:val="TableNormal"/>
    <w:uiPriority w:val="59"/>
    <w:rsid w:val="001778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E02472"/>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E02472"/>
    <w:rPr>
      <w:rFonts w:ascii="Calibri" w:hAnsi="Calibri" w:cs="Calibri"/>
    </w:rPr>
  </w:style>
  <w:style w:type="character" w:styleId="FollowedHyperlink">
    <w:name w:val="FollowedHyperlink"/>
    <w:basedOn w:val="DefaultParagraphFont"/>
    <w:uiPriority w:val="99"/>
    <w:semiHidden/>
    <w:unhideWhenUsed/>
    <w:rsid w:val="005D128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0975"/>
    <w:rPr>
      <w:color w:val="0000FF"/>
      <w:u w:val="single"/>
    </w:rPr>
  </w:style>
  <w:style w:type="paragraph" w:styleId="BalloonText">
    <w:name w:val="Balloon Text"/>
    <w:basedOn w:val="Normal"/>
    <w:link w:val="BalloonTextChar"/>
    <w:uiPriority w:val="99"/>
    <w:semiHidden/>
    <w:unhideWhenUsed/>
    <w:rsid w:val="001609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975"/>
    <w:rPr>
      <w:rFonts w:ascii="Tahoma" w:hAnsi="Tahoma" w:cs="Tahoma"/>
      <w:sz w:val="16"/>
      <w:szCs w:val="16"/>
    </w:rPr>
  </w:style>
  <w:style w:type="table" w:styleId="TableGrid">
    <w:name w:val="Table Grid"/>
    <w:basedOn w:val="TableNormal"/>
    <w:uiPriority w:val="59"/>
    <w:rsid w:val="001778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E02472"/>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E02472"/>
    <w:rPr>
      <w:rFonts w:ascii="Calibri" w:hAnsi="Calibri" w:cs="Calibri"/>
    </w:rPr>
  </w:style>
  <w:style w:type="character" w:styleId="FollowedHyperlink">
    <w:name w:val="FollowedHyperlink"/>
    <w:basedOn w:val="DefaultParagraphFont"/>
    <w:uiPriority w:val="99"/>
    <w:semiHidden/>
    <w:unhideWhenUsed/>
    <w:rsid w:val="005D12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29437">
      <w:bodyDiv w:val="1"/>
      <w:marLeft w:val="0"/>
      <w:marRight w:val="0"/>
      <w:marTop w:val="0"/>
      <w:marBottom w:val="0"/>
      <w:divBdr>
        <w:top w:val="none" w:sz="0" w:space="0" w:color="auto"/>
        <w:left w:val="none" w:sz="0" w:space="0" w:color="auto"/>
        <w:bottom w:val="none" w:sz="0" w:space="0" w:color="auto"/>
        <w:right w:val="none" w:sz="0" w:space="0" w:color="auto"/>
      </w:divBdr>
    </w:div>
    <w:div w:id="19170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e.int/t/dghl/standardsetting/dataprotection/TPD_documents/Handbook.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ra.europa.eu/en" TargetMode="External"/><Relationship Id="rId12" Type="http://schemas.openxmlformats.org/officeDocument/2006/relationships/hyperlink" Target="mailto:media@fra.europa.e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mailto:jaime.rodriguez@coe.int" TargetMode="External"/><Relationship Id="rId5" Type="http://schemas.openxmlformats.org/officeDocument/2006/relationships/image" Target="media/image1.jpeg"/><Relationship Id="rId10" Type="http://schemas.openxmlformats.org/officeDocument/2006/relationships/hyperlink" Target="http://www.conventions.coe.int/Treaty/Commun/QueVoulezVous.asp?CL=ENG&amp;CM=1&amp;NT=108&amp;DF=" TargetMode="External"/><Relationship Id="rId4" Type="http://schemas.openxmlformats.org/officeDocument/2006/relationships/webSettings" Target="webSettings.xml"/><Relationship Id="rId9" Type="http://schemas.openxmlformats.org/officeDocument/2006/relationships/hyperlink" Target="http://hub.coe.i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419</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RODRIGUEZ Jaime</dc:creator>
  <cp:lastModifiedBy>TAILLEZ Catherine</cp:lastModifiedBy>
  <cp:revision>9</cp:revision>
  <cp:lastPrinted>2014-01-27T09:24:00Z</cp:lastPrinted>
  <dcterms:created xsi:type="dcterms:W3CDTF">2014-01-27T11:26:00Z</dcterms:created>
  <dcterms:modified xsi:type="dcterms:W3CDTF">2014-01-27T17:02:00Z</dcterms:modified>
</cp:coreProperties>
</file>